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1808" w14:textId="2AEB6EA2" w:rsidR="006F26D9" w:rsidRPr="0033119B" w:rsidRDefault="0031256F">
      <w:pPr>
        <w:rPr>
          <w:sz w:val="36"/>
          <w:szCs w:val="36"/>
        </w:rPr>
      </w:pPr>
      <w:r w:rsidRPr="0033119B">
        <w:rPr>
          <w:sz w:val="36"/>
          <w:szCs w:val="36"/>
        </w:rPr>
        <w:t>Blackboard Rubric to Evaluate DLC Proposals</w:t>
      </w:r>
    </w:p>
    <w:p w14:paraId="2500047C" w14:textId="0CB8D567" w:rsidR="0031256F" w:rsidRDefault="0031256F"/>
    <w:p w14:paraId="29DF876B" w14:textId="157F9D49" w:rsidR="0031256F" w:rsidRDefault="0031256F">
      <w:r>
        <w:t>Course:</w:t>
      </w:r>
      <w:r w:rsidR="009725EF">
        <w:t xml:space="preserve"> __________________________________________________</w:t>
      </w:r>
      <w:r w:rsidR="009725EF">
        <w:tab/>
      </w:r>
      <w:r w:rsidR="009725EF">
        <w:tab/>
      </w:r>
      <w:r w:rsidR="00FC3FC6">
        <w:tab/>
      </w:r>
      <w:r w:rsidR="00FC3FC6">
        <w:tab/>
      </w:r>
      <w:r w:rsidR="009725EF">
        <w:t>Review Date: ______________________</w:t>
      </w:r>
      <w:r w:rsidR="00FC3FC6">
        <w:t>___</w:t>
      </w:r>
      <w:r w:rsidR="009725EF">
        <w:t>___</w:t>
      </w:r>
    </w:p>
    <w:p w14:paraId="39E3169E" w14:textId="57E78F34" w:rsidR="009725EF" w:rsidRDefault="009725EF"/>
    <w:p w14:paraId="696D95A1" w14:textId="7A7A8FBE" w:rsidR="009725EF" w:rsidRDefault="009725EF">
      <w:r>
        <w:t>Reviewer(s) _______________________________________________</w:t>
      </w:r>
      <w:r w:rsidR="00FC3FC6">
        <w:t>_____________________________________________________________</w:t>
      </w:r>
    </w:p>
    <w:p w14:paraId="2E8890A4" w14:textId="1A540047" w:rsidR="0031256F" w:rsidRDefault="0031256F"/>
    <w:p w14:paraId="239B522D" w14:textId="5E40EB5F" w:rsidR="009725EF" w:rsidRDefault="009725EF">
      <w:r>
        <w:t xml:space="preserve">Note: Items worth 5 points (highlighted) are considered compulsory standards.  </w:t>
      </w:r>
    </w:p>
    <w:tbl>
      <w:tblPr>
        <w:tblStyle w:val="TableGrid"/>
        <w:tblW w:w="12899" w:type="dxa"/>
        <w:tblLook w:val="04A0" w:firstRow="1" w:lastRow="0" w:firstColumn="1" w:lastColumn="0" w:noHBand="0" w:noVBand="1"/>
      </w:tblPr>
      <w:tblGrid>
        <w:gridCol w:w="2005"/>
        <w:gridCol w:w="5277"/>
        <w:gridCol w:w="599"/>
        <w:gridCol w:w="5018"/>
      </w:tblGrid>
      <w:tr w:rsidR="00E613D7" w14:paraId="21F904BC" w14:textId="77777777" w:rsidTr="0033119B">
        <w:tc>
          <w:tcPr>
            <w:tcW w:w="2005" w:type="dxa"/>
          </w:tcPr>
          <w:p w14:paraId="6DC7D0F3" w14:textId="22F59D21" w:rsidR="0031256F" w:rsidRDefault="0031256F" w:rsidP="0031256F">
            <w:pPr>
              <w:jc w:val="center"/>
            </w:pPr>
            <w:r>
              <w:t xml:space="preserve">Standard </w:t>
            </w:r>
            <w:r w:rsidR="00FC3FC6">
              <w:t xml:space="preserve">(Sub-) </w:t>
            </w:r>
            <w:r>
              <w:t>Categories</w:t>
            </w:r>
          </w:p>
        </w:tc>
        <w:tc>
          <w:tcPr>
            <w:tcW w:w="5277" w:type="dxa"/>
          </w:tcPr>
          <w:p w14:paraId="25A7FB88" w14:textId="3907B14C" w:rsidR="0031256F" w:rsidRDefault="0031256F" w:rsidP="0031256F">
            <w:pPr>
              <w:jc w:val="center"/>
            </w:pPr>
            <w:r>
              <w:t>Exemplary Standard</w:t>
            </w:r>
          </w:p>
        </w:tc>
        <w:tc>
          <w:tcPr>
            <w:tcW w:w="599" w:type="dxa"/>
          </w:tcPr>
          <w:p w14:paraId="3869509F" w14:textId="18B6D341" w:rsidR="0031256F" w:rsidRDefault="0031256F" w:rsidP="0031256F">
            <w:pPr>
              <w:jc w:val="center"/>
            </w:pPr>
            <w:r>
              <w:t>P</w:t>
            </w:r>
            <w:r w:rsidR="0033119B">
              <w:t>ts</w:t>
            </w:r>
          </w:p>
        </w:tc>
        <w:tc>
          <w:tcPr>
            <w:tcW w:w="5018" w:type="dxa"/>
          </w:tcPr>
          <w:p w14:paraId="3B46B0CA" w14:textId="5803B0B9" w:rsidR="0031256F" w:rsidRDefault="0031256F" w:rsidP="0031256F">
            <w:pPr>
              <w:jc w:val="center"/>
            </w:pPr>
            <w:r>
              <w:t>Score / Notes</w:t>
            </w:r>
          </w:p>
        </w:tc>
      </w:tr>
      <w:tr w:rsidR="0031256F" w14:paraId="71EE51F2" w14:textId="77777777" w:rsidTr="0033119B">
        <w:tc>
          <w:tcPr>
            <w:tcW w:w="12899" w:type="dxa"/>
            <w:gridSpan w:val="4"/>
          </w:tcPr>
          <w:p w14:paraId="4D73E393" w14:textId="471CFB45" w:rsidR="0031256F" w:rsidRDefault="00E613D7" w:rsidP="0031256F">
            <w:pPr>
              <w:jc w:val="center"/>
            </w:pPr>
            <w:r>
              <w:t xml:space="preserve">1.0 </w:t>
            </w:r>
            <w:r w:rsidR="0031256F">
              <w:t>Course Design</w:t>
            </w:r>
          </w:p>
        </w:tc>
      </w:tr>
      <w:tr w:rsidR="009725EF" w14:paraId="5CFFDAAB" w14:textId="77777777" w:rsidTr="0033119B">
        <w:tc>
          <w:tcPr>
            <w:tcW w:w="2005" w:type="dxa"/>
            <w:vMerge w:val="restart"/>
          </w:tcPr>
          <w:p w14:paraId="5ECA9F0F" w14:textId="7A227F8E" w:rsidR="0031256F" w:rsidRDefault="0031256F">
            <w:r>
              <w:t>Goals and Objectives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1E44DCE4" w14:textId="536165CC" w:rsidR="0031256F" w:rsidRDefault="0031256F">
            <w:r w:rsidRPr="0031256F">
              <w:t xml:space="preserve">1.1 Goals and </w:t>
            </w:r>
            <w:r>
              <w:t xml:space="preserve">objectives are clearly written and appropriate for the course level. </w:t>
            </w:r>
          </w:p>
        </w:tc>
        <w:tc>
          <w:tcPr>
            <w:tcW w:w="599" w:type="dxa"/>
          </w:tcPr>
          <w:p w14:paraId="52DAD385" w14:textId="0BB613D2" w:rsidR="0031256F" w:rsidRDefault="0031256F">
            <w:r>
              <w:t>5</w:t>
            </w:r>
          </w:p>
        </w:tc>
        <w:tc>
          <w:tcPr>
            <w:tcW w:w="5018" w:type="dxa"/>
          </w:tcPr>
          <w:p w14:paraId="2FF1741A" w14:textId="77777777" w:rsidR="0031256F" w:rsidRDefault="0031256F"/>
        </w:tc>
      </w:tr>
      <w:tr w:rsidR="009725EF" w14:paraId="5FD8ED58" w14:textId="77777777" w:rsidTr="0033119B">
        <w:tc>
          <w:tcPr>
            <w:tcW w:w="2005" w:type="dxa"/>
            <w:vMerge/>
          </w:tcPr>
          <w:p w14:paraId="5E74A810" w14:textId="77777777" w:rsidR="0031256F" w:rsidRDefault="0031256F"/>
        </w:tc>
        <w:tc>
          <w:tcPr>
            <w:tcW w:w="5277" w:type="dxa"/>
          </w:tcPr>
          <w:p w14:paraId="3C6054C4" w14:textId="5A8B1B73" w:rsidR="0031256F" w:rsidRDefault="0031256F">
            <w:r w:rsidRPr="0031256F">
              <w:t>1.2 Goals and objectives are easily located within the course visible in a variety of areas (e.g., within the syllabus and each individual learning unit)</w:t>
            </w:r>
            <w:r>
              <w:t>.</w:t>
            </w:r>
          </w:p>
        </w:tc>
        <w:tc>
          <w:tcPr>
            <w:tcW w:w="599" w:type="dxa"/>
          </w:tcPr>
          <w:p w14:paraId="56A0ACB5" w14:textId="63230533" w:rsidR="0031256F" w:rsidRDefault="0031256F">
            <w:r>
              <w:t>4</w:t>
            </w:r>
          </w:p>
        </w:tc>
        <w:tc>
          <w:tcPr>
            <w:tcW w:w="5018" w:type="dxa"/>
          </w:tcPr>
          <w:p w14:paraId="6D0E7CDC" w14:textId="77777777" w:rsidR="0031256F" w:rsidRDefault="0031256F"/>
        </w:tc>
      </w:tr>
      <w:tr w:rsidR="009725EF" w14:paraId="733DAA70" w14:textId="77777777" w:rsidTr="0033119B">
        <w:tc>
          <w:tcPr>
            <w:tcW w:w="2005" w:type="dxa"/>
            <w:vMerge/>
          </w:tcPr>
          <w:p w14:paraId="201638B0" w14:textId="77777777" w:rsidR="0031256F" w:rsidRDefault="0031256F"/>
        </w:tc>
        <w:tc>
          <w:tcPr>
            <w:tcW w:w="5277" w:type="dxa"/>
          </w:tcPr>
          <w:p w14:paraId="0F898B1C" w14:textId="25A8EA8A" w:rsidR="0031256F" w:rsidRDefault="0031256F">
            <w:r w:rsidRPr="0031256F">
              <w:t>1.3 Goals and objectives are written in measurable outcomes (e.g., learners know what they are expected to be able to do)</w:t>
            </w:r>
            <w:r>
              <w:t>.</w:t>
            </w:r>
          </w:p>
        </w:tc>
        <w:tc>
          <w:tcPr>
            <w:tcW w:w="599" w:type="dxa"/>
          </w:tcPr>
          <w:p w14:paraId="2AAA7C7A" w14:textId="7F1D04B9" w:rsidR="0031256F" w:rsidRDefault="0031256F">
            <w:r>
              <w:t>4</w:t>
            </w:r>
          </w:p>
        </w:tc>
        <w:tc>
          <w:tcPr>
            <w:tcW w:w="5018" w:type="dxa"/>
          </w:tcPr>
          <w:p w14:paraId="69761CD9" w14:textId="77777777" w:rsidR="0031256F" w:rsidRDefault="0031256F"/>
        </w:tc>
      </w:tr>
      <w:tr w:rsidR="009725EF" w14:paraId="1C0B170E" w14:textId="77777777" w:rsidTr="0033119B">
        <w:tc>
          <w:tcPr>
            <w:tcW w:w="2005" w:type="dxa"/>
            <w:vMerge w:val="restart"/>
          </w:tcPr>
          <w:p w14:paraId="1FC08353" w14:textId="270977C6" w:rsidR="0031256F" w:rsidRDefault="0031256F">
            <w:r w:rsidRPr="0031256F">
              <w:t>Content Composition and Structure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377ACBB6" w14:textId="1194FBD8" w:rsidR="0031256F" w:rsidRDefault="0031256F">
            <w:r w:rsidRPr="0031256F">
              <w:t>1.4 Content is made available or “chunked” in manageable segments (i.e., presented in distinct learning units or modules)</w:t>
            </w:r>
            <w:r>
              <w:t>.</w:t>
            </w:r>
          </w:p>
        </w:tc>
        <w:tc>
          <w:tcPr>
            <w:tcW w:w="599" w:type="dxa"/>
          </w:tcPr>
          <w:p w14:paraId="7CE5E6AC" w14:textId="6D687A4C" w:rsidR="0031256F" w:rsidRDefault="0031256F">
            <w:r>
              <w:t>5</w:t>
            </w:r>
          </w:p>
        </w:tc>
        <w:tc>
          <w:tcPr>
            <w:tcW w:w="5018" w:type="dxa"/>
          </w:tcPr>
          <w:p w14:paraId="1ACF415C" w14:textId="77777777" w:rsidR="0031256F" w:rsidRDefault="0031256F"/>
        </w:tc>
      </w:tr>
      <w:tr w:rsidR="0033119B" w14:paraId="2A173241" w14:textId="77777777" w:rsidTr="0033119B">
        <w:tc>
          <w:tcPr>
            <w:tcW w:w="2005" w:type="dxa"/>
            <w:vMerge/>
          </w:tcPr>
          <w:p w14:paraId="70802323" w14:textId="77777777" w:rsidR="0031256F" w:rsidRDefault="0031256F"/>
        </w:tc>
        <w:tc>
          <w:tcPr>
            <w:tcW w:w="5277" w:type="dxa"/>
          </w:tcPr>
          <w:p w14:paraId="7ED0F89C" w14:textId="5223C91B" w:rsidR="0031256F" w:rsidRDefault="0031256F">
            <w:r w:rsidRPr="0031256F">
              <w:t xml:space="preserve">1.5 Content is enhanced with multimedia (e.g., video, audio, </w:t>
            </w:r>
            <w:r>
              <w:t>images</w:t>
            </w:r>
            <w:r w:rsidRPr="0031256F">
              <w:t>)</w:t>
            </w:r>
            <w:r>
              <w:t>.</w:t>
            </w:r>
          </w:p>
        </w:tc>
        <w:tc>
          <w:tcPr>
            <w:tcW w:w="599" w:type="dxa"/>
          </w:tcPr>
          <w:p w14:paraId="31DE8577" w14:textId="5C28A03B" w:rsidR="0031256F" w:rsidRDefault="0031256F">
            <w:r>
              <w:t>4</w:t>
            </w:r>
          </w:p>
        </w:tc>
        <w:tc>
          <w:tcPr>
            <w:tcW w:w="5018" w:type="dxa"/>
          </w:tcPr>
          <w:p w14:paraId="40B2E565" w14:textId="77777777" w:rsidR="0031256F" w:rsidRDefault="0031256F"/>
        </w:tc>
      </w:tr>
      <w:tr w:rsidR="0033119B" w14:paraId="25DB732B" w14:textId="77777777" w:rsidTr="0033119B">
        <w:tc>
          <w:tcPr>
            <w:tcW w:w="2005" w:type="dxa"/>
            <w:vMerge/>
          </w:tcPr>
          <w:p w14:paraId="56EFA3EE" w14:textId="77777777" w:rsidR="0031256F" w:rsidRDefault="0031256F"/>
        </w:tc>
        <w:tc>
          <w:tcPr>
            <w:tcW w:w="5277" w:type="dxa"/>
          </w:tcPr>
          <w:p w14:paraId="4270C3C4" w14:textId="145DE122" w:rsidR="0031256F" w:rsidRDefault="0031256F">
            <w:r w:rsidRPr="0031256F">
              <w:t>1.6 Navigation is</w:t>
            </w:r>
            <w:r>
              <w:t xml:space="preserve"> user friendly. Students know what steps to take next and where to navigate.</w:t>
            </w:r>
          </w:p>
        </w:tc>
        <w:tc>
          <w:tcPr>
            <w:tcW w:w="599" w:type="dxa"/>
          </w:tcPr>
          <w:p w14:paraId="7B131C07" w14:textId="1D97E38F" w:rsidR="0031256F" w:rsidRDefault="0031256F">
            <w:r>
              <w:t>3</w:t>
            </w:r>
          </w:p>
        </w:tc>
        <w:tc>
          <w:tcPr>
            <w:tcW w:w="5018" w:type="dxa"/>
          </w:tcPr>
          <w:p w14:paraId="272732FA" w14:textId="77777777" w:rsidR="0031256F" w:rsidRDefault="0031256F"/>
        </w:tc>
      </w:tr>
      <w:tr w:rsidR="0033119B" w14:paraId="3C4363B8" w14:textId="77777777" w:rsidTr="0033119B">
        <w:tc>
          <w:tcPr>
            <w:tcW w:w="2005" w:type="dxa"/>
            <w:vMerge/>
          </w:tcPr>
          <w:p w14:paraId="1A90EA92" w14:textId="77777777" w:rsidR="0031256F" w:rsidRDefault="0031256F"/>
        </w:tc>
        <w:tc>
          <w:tcPr>
            <w:tcW w:w="5277" w:type="dxa"/>
          </w:tcPr>
          <w:p w14:paraId="4483A520" w14:textId="4225087A" w:rsidR="0031256F" w:rsidRPr="0031256F" w:rsidRDefault="0031256F">
            <w:r w:rsidRPr="0031256F">
              <w:t xml:space="preserve">1.7 </w:t>
            </w:r>
            <w:r>
              <w:t>Digitally accessible materials are used when available.</w:t>
            </w:r>
          </w:p>
        </w:tc>
        <w:tc>
          <w:tcPr>
            <w:tcW w:w="599" w:type="dxa"/>
          </w:tcPr>
          <w:p w14:paraId="09629E69" w14:textId="0B8698E2" w:rsidR="0031256F" w:rsidRDefault="0031256F">
            <w:r>
              <w:t>1</w:t>
            </w:r>
          </w:p>
        </w:tc>
        <w:tc>
          <w:tcPr>
            <w:tcW w:w="5018" w:type="dxa"/>
          </w:tcPr>
          <w:p w14:paraId="2763D732" w14:textId="77777777" w:rsidR="0031256F" w:rsidRDefault="0031256F"/>
        </w:tc>
      </w:tr>
      <w:tr w:rsidR="0033119B" w14:paraId="39F2BB1C" w14:textId="77777777" w:rsidTr="0033119B">
        <w:tc>
          <w:tcPr>
            <w:tcW w:w="2005" w:type="dxa"/>
            <w:vMerge w:val="restart"/>
          </w:tcPr>
          <w:p w14:paraId="6C9ABF2F" w14:textId="1ADFD6E0" w:rsidR="00E613D7" w:rsidRDefault="00E613D7">
            <w:r>
              <w:t>Learner Engagement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07A55ED8" w14:textId="64608FE3" w:rsidR="00E613D7" w:rsidRPr="0031256F" w:rsidRDefault="00E613D7">
            <w:r>
              <w:t xml:space="preserve">1.8 It is clear how the course activities will enable learners to reach course goals and objectives. </w:t>
            </w:r>
          </w:p>
        </w:tc>
        <w:tc>
          <w:tcPr>
            <w:tcW w:w="599" w:type="dxa"/>
          </w:tcPr>
          <w:p w14:paraId="6E34462E" w14:textId="677CEBFA" w:rsidR="00E613D7" w:rsidRDefault="00E613D7">
            <w:r>
              <w:t>5</w:t>
            </w:r>
          </w:p>
        </w:tc>
        <w:tc>
          <w:tcPr>
            <w:tcW w:w="5018" w:type="dxa"/>
          </w:tcPr>
          <w:p w14:paraId="66753803" w14:textId="77777777" w:rsidR="00E613D7" w:rsidRDefault="00E613D7"/>
        </w:tc>
      </w:tr>
      <w:tr w:rsidR="0033119B" w14:paraId="2B9244C3" w14:textId="77777777" w:rsidTr="0033119B">
        <w:tc>
          <w:tcPr>
            <w:tcW w:w="2005" w:type="dxa"/>
            <w:vMerge/>
          </w:tcPr>
          <w:p w14:paraId="721EC9B8" w14:textId="77777777" w:rsidR="00E613D7" w:rsidRDefault="00E613D7"/>
        </w:tc>
        <w:tc>
          <w:tcPr>
            <w:tcW w:w="5277" w:type="dxa"/>
            <w:shd w:val="clear" w:color="auto" w:fill="FFD966" w:themeFill="accent4" w:themeFillTint="99"/>
          </w:tcPr>
          <w:p w14:paraId="222D9114" w14:textId="34E3416A" w:rsidR="00E613D7" w:rsidRPr="0031256F" w:rsidRDefault="00E613D7">
            <w:r>
              <w:t xml:space="preserve">1.9 Course design includes guidance for learners to work with content in meaningful ways (e.g., clear instructions, content outline, video, course orientation) and how to proceed. </w:t>
            </w:r>
          </w:p>
        </w:tc>
        <w:tc>
          <w:tcPr>
            <w:tcW w:w="599" w:type="dxa"/>
          </w:tcPr>
          <w:p w14:paraId="49238235" w14:textId="3E75C0F8" w:rsidR="00E613D7" w:rsidRDefault="00E613D7">
            <w:r>
              <w:t>5</w:t>
            </w:r>
          </w:p>
        </w:tc>
        <w:tc>
          <w:tcPr>
            <w:tcW w:w="5018" w:type="dxa"/>
          </w:tcPr>
          <w:p w14:paraId="72471234" w14:textId="77777777" w:rsidR="00E613D7" w:rsidRDefault="00E613D7"/>
        </w:tc>
      </w:tr>
      <w:tr w:rsidR="00E613D7" w14:paraId="3850E78E" w14:textId="77777777" w:rsidTr="0033119B">
        <w:tc>
          <w:tcPr>
            <w:tcW w:w="2005" w:type="dxa"/>
            <w:vMerge w:val="restart"/>
          </w:tcPr>
          <w:p w14:paraId="782E39FC" w14:textId="0D4A3A08" w:rsidR="00E613D7" w:rsidRDefault="00E613D7">
            <w:r w:rsidRPr="00E613D7">
              <w:lastRenderedPageBreak/>
              <w:t>Technology Use</w:t>
            </w:r>
          </w:p>
        </w:tc>
        <w:tc>
          <w:tcPr>
            <w:tcW w:w="5277" w:type="dxa"/>
          </w:tcPr>
          <w:p w14:paraId="207378D4" w14:textId="12CCA180" w:rsidR="00E613D7" w:rsidRPr="0031256F" w:rsidRDefault="00E613D7" w:rsidP="00E613D7">
            <w:r>
              <w:t>1.10 Learning Management System (LMS) tools are used efficiently to reduce</w:t>
            </w:r>
            <w:r>
              <w:t xml:space="preserve"> </w:t>
            </w:r>
            <w:r>
              <w:t>the labor intensity of learning (e.g., providing links to needed resources, using</w:t>
            </w:r>
            <w:r>
              <w:t xml:space="preserve"> </w:t>
            </w:r>
            <w:r>
              <w:t>native LMS tools where available).</w:t>
            </w:r>
          </w:p>
        </w:tc>
        <w:tc>
          <w:tcPr>
            <w:tcW w:w="599" w:type="dxa"/>
          </w:tcPr>
          <w:p w14:paraId="08EF0F4C" w14:textId="78B5C9A1" w:rsidR="00E613D7" w:rsidRDefault="00E613D7">
            <w:r>
              <w:t>4</w:t>
            </w:r>
          </w:p>
        </w:tc>
        <w:tc>
          <w:tcPr>
            <w:tcW w:w="5018" w:type="dxa"/>
          </w:tcPr>
          <w:p w14:paraId="562A8583" w14:textId="77777777" w:rsidR="00E613D7" w:rsidRDefault="00E613D7"/>
        </w:tc>
      </w:tr>
      <w:tr w:rsidR="00E613D7" w14:paraId="74FC9A7C" w14:textId="77777777" w:rsidTr="0033119B">
        <w:tc>
          <w:tcPr>
            <w:tcW w:w="2005" w:type="dxa"/>
            <w:vMerge/>
          </w:tcPr>
          <w:p w14:paraId="17A89AFA" w14:textId="77777777" w:rsidR="00E613D7" w:rsidRDefault="00E613D7"/>
        </w:tc>
        <w:tc>
          <w:tcPr>
            <w:tcW w:w="5277" w:type="dxa"/>
          </w:tcPr>
          <w:p w14:paraId="3A4E16E7" w14:textId="1B7420F8" w:rsidR="00E613D7" w:rsidRPr="0031256F" w:rsidRDefault="00E613D7" w:rsidP="00E613D7">
            <w:r>
              <w:t>1.11 Technology available in the course is used to facilitate learning by engaging</w:t>
            </w:r>
            <w:r>
              <w:t xml:space="preserve"> </w:t>
            </w:r>
            <w:r>
              <w:t>learners with course content (e.g., integrating publisher resources that are</w:t>
            </w:r>
            <w:r>
              <w:t xml:space="preserve"> </w:t>
            </w:r>
            <w:r>
              <w:t>tailored to the course materials, and providing streamlined access to</w:t>
            </w:r>
            <w:r>
              <w:t xml:space="preserve"> </w:t>
            </w:r>
            <w:r>
              <w:t>supplementary materials).</w:t>
            </w:r>
          </w:p>
        </w:tc>
        <w:tc>
          <w:tcPr>
            <w:tcW w:w="599" w:type="dxa"/>
          </w:tcPr>
          <w:p w14:paraId="60D16A97" w14:textId="7105247D" w:rsidR="00E613D7" w:rsidRDefault="00E613D7">
            <w:r>
              <w:t>3</w:t>
            </w:r>
          </w:p>
        </w:tc>
        <w:tc>
          <w:tcPr>
            <w:tcW w:w="5018" w:type="dxa"/>
          </w:tcPr>
          <w:p w14:paraId="5CF3186B" w14:textId="77777777" w:rsidR="00E613D7" w:rsidRDefault="00E613D7"/>
        </w:tc>
      </w:tr>
      <w:tr w:rsidR="00E613D7" w14:paraId="63C10E68" w14:textId="77777777" w:rsidTr="0033119B">
        <w:tc>
          <w:tcPr>
            <w:tcW w:w="2005" w:type="dxa"/>
            <w:vMerge/>
          </w:tcPr>
          <w:p w14:paraId="34A25F0E" w14:textId="77777777" w:rsidR="00E613D7" w:rsidRDefault="00E613D7"/>
        </w:tc>
        <w:tc>
          <w:tcPr>
            <w:tcW w:w="5277" w:type="dxa"/>
          </w:tcPr>
          <w:p w14:paraId="54257ACB" w14:textId="629ABCD8" w:rsidR="00E613D7" w:rsidRPr="0031256F" w:rsidRDefault="00E613D7" w:rsidP="00E613D7">
            <w:r>
              <w:t>1.12 Technologies are used in ways that transcend traditional, teacher-centered</w:t>
            </w:r>
            <w:r>
              <w:t xml:space="preserve"> </w:t>
            </w:r>
            <w:r>
              <w:t>instruction (e.g., peer-led instruction, technology-supported learner choice,</w:t>
            </w:r>
            <w:r>
              <w:t xml:space="preserve"> </w:t>
            </w:r>
            <w:r>
              <w:t>flipped classroom).</w:t>
            </w:r>
          </w:p>
        </w:tc>
        <w:tc>
          <w:tcPr>
            <w:tcW w:w="599" w:type="dxa"/>
          </w:tcPr>
          <w:p w14:paraId="3CE4AE5D" w14:textId="6D55CB1D" w:rsidR="00E613D7" w:rsidRDefault="00E613D7">
            <w:r>
              <w:t>3</w:t>
            </w:r>
          </w:p>
        </w:tc>
        <w:tc>
          <w:tcPr>
            <w:tcW w:w="5018" w:type="dxa"/>
          </w:tcPr>
          <w:p w14:paraId="2C01FFDA" w14:textId="77777777" w:rsidR="00E613D7" w:rsidRDefault="00E613D7"/>
        </w:tc>
      </w:tr>
      <w:tr w:rsidR="0033119B" w14:paraId="38663C84" w14:textId="77777777" w:rsidTr="0033119B">
        <w:tc>
          <w:tcPr>
            <w:tcW w:w="2005" w:type="dxa"/>
            <w:vMerge w:val="restart"/>
          </w:tcPr>
          <w:p w14:paraId="71B190B0" w14:textId="77777777" w:rsidR="00E613D7" w:rsidRDefault="00E613D7" w:rsidP="00E613D7">
            <w:r>
              <w:t>Accessibility of</w:t>
            </w:r>
          </w:p>
          <w:p w14:paraId="593D2681" w14:textId="4408AE44" w:rsidR="00E613D7" w:rsidRDefault="00E613D7" w:rsidP="00E613D7">
            <w:r>
              <w:t>Course Design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19FAF74F" w14:textId="024F309E" w:rsidR="00E613D7" w:rsidRPr="0031256F" w:rsidRDefault="00E613D7" w:rsidP="00E613D7">
            <w:r>
              <w:t>1.13 The design and delivery of content supports inclusive pedagogy by</w:t>
            </w:r>
            <w:r>
              <w:t xml:space="preserve"> </w:t>
            </w:r>
            <w:r>
              <w:t>integrating alternative options (e.g., transcripts), enabling assistive processes</w:t>
            </w:r>
            <w:r>
              <w:t xml:space="preserve"> </w:t>
            </w:r>
            <w:r>
              <w:t>(e.g., voice recognition), and inviting choice to support and engage students</w:t>
            </w:r>
            <w:r>
              <w:t xml:space="preserve"> </w:t>
            </w:r>
            <w:r>
              <w:t>with diverse learning needs and preferences.</w:t>
            </w:r>
          </w:p>
        </w:tc>
        <w:tc>
          <w:tcPr>
            <w:tcW w:w="599" w:type="dxa"/>
          </w:tcPr>
          <w:p w14:paraId="4BEE6060" w14:textId="4330BF0B" w:rsidR="00E613D7" w:rsidRDefault="00E613D7">
            <w:r>
              <w:t>5</w:t>
            </w:r>
          </w:p>
        </w:tc>
        <w:tc>
          <w:tcPr>
            <w:tcW w:w="5018" w:type="dxa"/>
          </w:tcPr>
          <w:p w14:paraId="12F41214" w14:textId="77777777" w:rsidR="00E613D7" w:rsidRDefault="00E613D7"/>
        </w:tc>
      </w:tr>
      <w:tr w:rsidR="0033119B" w14:paraId="6146B15E" w14:textId="77777777" w:rsidTr="0033119B">
        <w:tc>
          <w:tcPr>
            <w:tcW w:w="2005" w:type="dxa"/>
            <w:vMerge/>
          </w:tcPr>
          <w:p w14:paraId="568EF02F" w14:textId="77777777" w:rsidR="00E613D7" w:rsidRDefault="00E613D7"/>
        </w:tc>
        <w:tc>
          <w:tcPr>
            <w:tcW w:w="5277" w:type="dxa"/>
            <w:shd w:val="clear" w:color="auto" w:fill="FFD966" w:themeFill="accent4" w:themeFillTint="99"/>
          </w:tcPr>
          <w:p w14:paraId="44A11657" w14:textId="54589F94" w:rsidR="00E613D7" w:rsidRPr="0031256F" w:rsidRDefault="00E613D7" w:rsidP="00E613D7">
            <w:r>
              <w:t>1.14 Course files (e.g., documents, PDFs, presentations) use built-in accessibility</w:t>
            </w:r>
            <w:r>
              <w:t xml:space="preserve"> </w:t>
            </w:r>
            <w:r>
              <w:t>formatting options to support assistive technologies (e.g., screen readers,</w:t>
            </w:r>
            <w:r>
              <w:t xml:space="preserve"> </w:t>
            </w:r>
            <w:r>
              <w:t>screen magnification).</w:t>
            </w:r>
          </w:p>
        </w:tc>
        <w:tc>
          <w:tcPr>
            <w:tcW w:w="599" w:type="dxa"/>
          </w:tcPr>
          <w:p w14:paraId="72E2CFAF" w14:textId="401DF485" w:rsidR="00E613D7" w:rsidRDefault="00E613D7">
            <w:r>
              <w:t>5</w:t>
            </w:r>
          </w:p>
        </w:tc>
        <w:tc>
          <w:tcPr>
            <w:tcW w:w="5018" w:type="dxa"/>
          </w:tcPr>
          <w:p w14:paraId="024662BD" w14:textId="77777777" w:rsidR="00E613D7" w:rsidRDefault="00E613D7"/>
        </w:tc>
      </w:tr>
      <w:tr w:rsidR="00E613D7" w14:paraId="14DFE2D1" w14:textId="77777777" w:rsidTr="0033119B">
        <w:tc>
          <w:tcPr>
            <w:tcW w:w="2005" w:type="dxa"/>
            <w:vMerge/>
          </w:tcPr>
          <w:p w14:paraId="611307EB" w14:textId="77777777" w:rsidR="00E613D7" w:rsidRDefault="00E613D7"/>
        </w:tc>
        <w:tc>
          <w:tcPr>
            <w:tcW w:w="5277" w:type="dxa"/>
          </w:tcPr>
          <w:p w14:paraId="3223A5E1" w14:textId="1B619617" w:rsidR="00E613D7" w:rsidRPr="0031256F" w:rsidRDefault="00E613D7" w:rsidP="00E613D7">
            <w:r>
              <w:t>1.15 Course includes multiple modalities for learner engagement (e.g., visual</w:t>
            </w:r>
            <w:r>
              <w:t xml:space="preserve"> </w:t>
            </w:r>
            <w:r>
              <w:t>(seeing), auditory (hearing), kinesthetic (moving), and tactile (touching)).</w:t>
            </w:r>
          </w:p>
        </w:tc>
        <w:tc>
          <w:tcPr>
            <w:tcW w:w="599" w:type="dxa"/>
          </w:tcPr>
          <w:p w14:paraId="1C9F649C" w14:textId="583A5EE4" w:rsidR="00E613D7" w:rsidRDefault="00E613D7">
            <w:r>
              <w:t>3</w:t>
            </w:r>
          </w:p>
        </w:tc>
        <w:tc>
          <w:tcPr>
            <w:tcW w:w="5018" w:type="dxa"/>
          </w:tcPr>
          <w:p w14:paraId="29E36D2B" w14:textId="77777777" w:rsidR="00E613D7" w:rsidRDefault="00E613D7"/>
        </w:tc>
      </w:tr>
      <w:tr w:rsidR="00E613D7" w14:paraId="24DA1FFE" w14:textId="77777777" w:rsidTr="0033119B">
        <w:tc>
          <w:tcPr>
            <w:tcW w:w="2005" w:type="dxa"/>
            <w:vMerge/>
          </w:tcPr>
          <w:p w14:paraId="1019C833" w14:textId="77777777" w:rsidR="00E613D7" w:rsidRDefault="00E613D7"/>
        </w:tc>
        <w:tc>
          <w:tcPr>
            <w:tcW w:w="5277" w:type="dxa"/>
          </w:tcPr>
          <w:p w14:paraId="48220493" w14:textId="57E07F4F" w:rsidR="00E613D7" w:rsidRPr="0031256F" w:rsidRDefault="00E613D7" w:rsidP="00E613D7">
            <w:r>
              <w:t>1.16 Design factors such as color, text size manipulations, audio and video</w:t>
            </w:r>
            <w:r>
              <w:t xml:space="preserve"> </w:t>
            </w:r>
            <w:r>
              <w:t>controls, and alt text use consistent and standard formatting to reflect universal</w:t>
            </w:r>
            <w:r>
              <w:t xml:space="preserve"> </w:t>
            </w:r>
            <w:r>
              <w:t>accessibility considerations.</w:t>
            </w:r>
          </w:p>
        </w:tc>
        <w:tc>
          <w:tcPr>
            <w:tcW w:w="599" w:type="dxa"/>
          </w:tcPr>
          <w:p w14:paraId="5C165025" w14:textId="52574318" w:rsidR="00E613D7" w:rsidRDefault="00E613D7">
            <w:r>
              <w:t>2</w:t>
            </w:r>
          </w:p>
        </w:tc>
        <w:tc>
          <w:tcPr>
            <w:tcW w:w="5018" w:type="dxa"/>
          </w:tcPr>
          <w:p w14:paraId="5F0D85FD" w14:textId="77777777" w:rsidR="00E613D7" w:rsidRDefault="00E613D7"/>
        </w:tc>
      </w:tr>
    </w:tbl>
    <w:p w14:paraId="35B7DD01" w14:textId="77777777" w:rsidR="0033119B" w:rsidRDefault="0033119B">
      <w:r>
        <w:br w:type="page"/>
      </w:r>
    </w:p>
    <w:tbl>
      <w:tblPr>
        <w:tblStyle w:val="TableGrid"/>
        <w:tblW w:w="13172" w:type="dxa"/>
        <w:tblLook w:val="04A0" w:firstRow="1" w:lastRow="0" w:firstColumn="1" w:lastColumn="0" w:noHBand="0" w:noVBand="1"/>
      </w:tblPr>
      <w:tblGrid>
        <w:gridCol w:w="2005"/>
        <w:gridCol w:w="5277"/>
        <w:gridCol w:w="872"/>
        <w:gridCol w:w="5018"/>
      </w:tblGrid>
      <w:tr w:rsidR="00E613D7" w14:paraId="66971D1B" w14:textId="77777777" w:rsidTr="0033119B">
        <w:tc>
          <w:tcPr>
            <w:tcW w:w="13172" w:type="dxa"/>
            <w:gridSpan w:val="4"/>
          </w:tcPr>
          <w:p w14:paraId="5D2EC70D" w14:textId="0ED8FEE9" w:rsidR="00E613D7" w:rsidRDefault="00E613D7" w:rsidP="00E613D7">
            <w:pPr>
              <w:jc w:val="center"/>
            </w:pPr>
            <w:r w:rsidRPr="00E613D7">
              <w:lastRenderedPageBreak/>
              <w:t>2.0 Interaction and Collaboration</w:t>
            </w:r>
          </w:p>
        </w:tc>
      </w:tr>
      <w:tr w:rsidR="00E613D7" w14:paraId="11376058" w14:textId="77777777" w:rsidTr="0033119B">
        <w:tc>
          <w:tcPr>
            <w:tcW w:w="2005" w:type="dxa"/>
            <w:vMerge w:val="restart"/>
          </w:tcPr>
          <w:p w14:paraId="4DF9DC65" w14:textId="0B81B42F" w:rsidR="00E613D7" w:rsidRDefault="00E613D7" w:rsidP="00E613D7">
            <w:r>
              <w:t>Communication</w:t>
            </w:r>
            <w:r>
              <w:t xml:space="preserve"> </w:t>
            </w:r>
            <w:r>
              <w:t>Strategies</w:t>
            </w:r>
          </w:p>
        </w:tc>
        <w:tc>
          <w:tcPr>
            <w:tcW w:w="5277" w:type="dxa"/>
          </w:tcPr>
          <w:p w14:paraId="0588EC35" w14:textId="2CC61F5F" w:rsidR="00E613D7" w:rsidRPr="0031256F" w:rsidRDefault="00E613D7" w:rsidP="00E613D7">
            <w:r>
              <w:t>2.1 Communication activities include interactive components/elements (e.g.,</w:t>
            </w:r>
            <w:r>
              <w:t xml:space="preserve"> </w:t>
            </w:r>
            <w:r>
              <w:t>learners gain practice discussing course content spontaneously).</w:t>
            </w:r>
          </w:p>
        </w:tc>
        <w:tc>
          <w:tcPr>
            <w:tcW w:w="872" w:type="dxa"/>
          </w:tcPr>
          <w:p w14:paraId="70DA54BD" w14:textId="6060963A" w:rsidR="00E613D7" w:rsidRDefault="00E613D7">
            <w:r>
              <w:t>4</w:t>
            </w:r>
          </w:p>
        </w:tc>
        <w:tc>
          <w:tcPr>
            <w:tcW w:w="5018" w:type="dxa"/>
          </w:tcPr>
          <w:p w14:paraId="02F1CC4D" w14:textId="77777777" w:rsidR="00E613D7" w:rsidRDefault="00E613D7"/>
        </w:tc>
      </w:tr>
      <w:tr w:rsidR="00E613D7" w14:paraId="633C24F5" w14:textId="77777777" w:rsidTr="0033119B">
        <w:tc>
          <w:tcPr>
            <w:tcW w:w="2005" w:type="dxa"/>
            <w:vMerge/>
          </w:tcPr>
          <w:p w14:paraId="6BB8721C" w14:textId="77777777" w:rsidR="00E613D7" w:rsidRDefault="00E613D7"/>
        </w:tc>
        <w:tc>
          <w:tcPr>
            <w:tcW w:w="5277" w:type="dxa"/>
          </w:tcPr>
          <w:p w14:paraId="1DFE88F8" w14:textId="01A1BD2E" w:rsidR="00E613D7" w:rsidRPr="0031256F" w:rsidRDefault="00E613D7" w:rsidP="00E613D7">
            <w:r>
              <w:t>2.2 There are a variety of collaborative opportunities for learners to</w:t>
            </w:r>
            <w:r>
              <w:t xml:space="preserve"> </w:t>
            </w:r>
            <w:r>
              <w:t>communicate (e.g., live meetings, chat, discussions, messages).</w:t>
            </w:r>
          </w:p>
        </w:tc>
        <w:tc>
          <w:tcPr>
            <w:tcW w:w="872" w:type="dxa"/>
          </w:tcPr>
          <w:p w14:paraId="48D9620B" w14:textId="74702082" w:rsidR="00E613D7" w:rsidRDefault="00E613D7">
            <w:r>
              <w:t>3</w:t>
            </w:r>
          </w:p>
        </w:tc>
        <w:tc>
          <w:tcPr>
            <w:tcW w:w="5018" w:type="dxa"/>
          </w:tcPr>
          <w:p w14:paraId="56931291" w14:textId="77777777" w:rsidR="00E613D7" w:rsidRDefault="00E613D7"/>
        </w:tc>
      </w:tr>
      <w:tr w:rsidR="00E613D7" w14:paraId="3BBC6911" w14:textId="77777777" w:rsidTr="0033119B">
        <w:tc>
          <w:tcPr>
            <w:tcW w:w="2005" w:type="dxa"/>
            <w:vMerge/>
          </w:tcPr>
          <w:p w14:paraId="767F9F29" w14:textId="77777777" w:rsidR="00E613D7" w:rsidRDefault="00E613D7"/>
        </w:tc>
        <w:tc>
          <w:tcPr>
            <w:tcW w:w="5277" w:type="dxa"/>
          </w:tcPr>
          <w:p w14:paraId="7E6538BE" w14:textId="77777777" w:rsidR="00E613D7" w:rsidRDefault="00E613D7" w:rsidP="00E613D7">
            <w:r>
              <w:t>2.3 Communication strategies promote critical reflection or other higher order</w:t>
            </w:r>
          </w:p>
          <w:p w14:paraId="1909D06C" w14:textId="0C3ECD8F" w:rsidR="00E613D7" w:rsidRPr="0031256F" w:rsidRDefault="00E613D7" w:rsidP="00E613D7">
            <w:r>
              <w:t>thinking aligned with learning objectives.</w:t>
            </w:r>
          </w:p>
        </w:tc>
        <w:tc>
          <w:tcPr>
            <w:tcW w:w="872" w:type="dxa"/>
          </w:tcPr>
          <w:p w14:paraId="288D8D3D" w14:textId="7647FFE4" w:rsidR="00E613D7" w:rsidRDefault="00E613D7">
            <w:r>
              <w:t>3</w:t>
            </w:r>
          </w:p>
        </w:tc>
        <w:tc>
          <w:tcPr>
            <w:tcW w:w="5018" w:type="dxa"/>
          </w:tcPr>
          <w:p w14:paraId="59701402" w14:textId="77777777" w:rsidR="00E613D7" w:rsidRDefault="00E613D7"/>
        </w:tc>
      </w:tr>
      <w:tr w:rsidR="00E613D7" w14:paraId="35337BF8" w14:textId="77777777" w:rsidTr="0033119B">
        <w:tc>
          <w:tcPr>
            <w:tcW w:w="2005" w:type="dxa"/>
            <w:vMerge w:val="restart"/>
          </w:tcPr>
          <w:p w14:paraId="209DDF1E" w14:textId="29CCCF15" w:rsidR="00E613D7" w:rsidRDefault="00E613D7" w:rsidP="00E613D7">
            <w:r>
              <w:t>Development of</w:t>
            </w:r>
            <w:r>
              <w:t xml:space="preserve"> </w:t>
            </w:r>
            <w:r>
              <w:t>Learning</w:t>
            </w:r>
            <w:r>
              <w:t xml:space="preserve"> </w:t>
            </w:r>
            <w:r>
              <w:t>Community</w:t>
            </w:r>
          </w:p>
        </w:tc>
        <w:tc>
          <w:tcPr>
            <w:tcW w:w="5277" w:type="dxa"/>
          </w:tcPr>
          <w:p w14:paraId="63853D51" w14:textId="0FBBC6F7" w:rsidR="00E613D7" w:rsidRPr="0031256F" w:rsidRDefault="00E613D7" w:rsidP="00E613D7">
            <w:r>
              <w:t>2.4 Collaboration activities reinforce course content and learning outcomes,</w:t>
            </w:r>
            <w:r>
              <w:t xml:space="preserve"> </w:t>
            </w:r>
            <w:r>
              <w:t>while building workplace-useful skills (e.g., teamwork, cooperation, negotiation,</w:t>
            </w:r>
            <w:r>
              <w:t xml:space="preserve"> </w:t>
            </w:r>
            <w:r>
              <w:t>consensus-building).</w:t>
            </w:r>
          </w:p>
        </w:tc>
        <w:tc>
          <w:tcPr>
            <w:tcW w:w="872" w:type="dxa"/>
          </w:tcPr>
          <w:p w14:paraId="098E27D8" w14:textId="456F5E24" w:rsidR="00E613D7" w:rsidRDefault="00E613D7">
            <w:r>
              <w:t>4</w:t>
            </w:r>
          </w:p>
        </w:tc>
        <w:tc>
          <w:tcPr>
            <w:tcW w:w="5018" w:type="dxa"/>
          </w:tcPr>
          <w:p w14:paraId="2D9B2DA9" w14:textId="77777777" w:rsidR="00E613D7" w:rsidRDefault="00E613D7"/>
        </w:tc>
      </w:tr>
      <w:tr w:rsidR="00E613D7" w14:paraId="255455C0" w14:textId="77777777" w:rsidTr="0033119B">
        <w:tc>
          <w:tcPr>
            <w:tcW w:w="2005" w:type="dxa"/>
            <w:vMerge/>
          </w:tcPr>
          <w:p w14:paraId="2EB45C3E" w14:textId="77777777" w:rsidR="00E613D7" w:rsidRDefault="00E613D7"/>
        </w:tc>
        <w:tc>
          <w:tcPr>
            <w:tcW w:w="5277" w:type="dxa"/>
          </w:tcPr>
          <w:p w14:paraId="584378D5" w14:textId="14D63DD0" w:rsidR="00E613D7" w:rsidRPr="0031256F" w:rsidRDefault="00E613D7" w:rsidP="00E613D7">
            <w:r>
              <w:t>2.5 Learner-to-learner as well as learner-to-instructor interactions are required</w:t>
            </w:r>
            <w:r>
              <w:t xml:space="preserve"> </w:t>
            </w:r>
            <w:r>
              <w:t>as part of the course.</w:t>
            </w:r>
          </w:p>
        </w:tc>
        <w:tc>
          <w:tcPr>
            <w:tcW w:w="872" w:type="dxa"/>
          </w:tcPr>
          <w:p w14:paraId="2F7F7A11" w14:textId="5C7B63F1" w:rsidR="00E613D7" w:rsidRDefault="00E613D7">
            <w:r>
              <w:t>3</w:t>
            </w:r>
          </w:p>
        </w:tc>
        <w:tc>
          <w:tcPr>
            <w:tcW w:w="5018" w:type="dxa"/>
          </w:tcPr>
          <w:p w14:paraId="487AAD3A" w14:textId="77777777" w:rsidR="00E613D7" w:rsidRDefault="00E613D7"/>
        </w:tc>
      </w:tr>
      <w:tr w:rsidR="00E613D7" w14:paraId="286ECFCC" w14:textId="77777777" w:rsidTr="0033119B">
        <w:tc>
          <w:tcPr>
            <w:tcW w:w="2005" w:type="dxa"/>
            <w:vMerge/>
          </w:tcPr>
          <w:p w14:paraId="03BA2A66" w14:textId="77777777" w:rsidR="00E613D7" w:rsidRDefault="00E613D7"/>
        </w:tc>
        <w:tc>
          <w:tcPr>
            <w:tcW w:w="5277" w:type="dxa"/>
          </w:tcPr>
          <w:p w14:paraId="17F93CE3" w14:textId="0AE67050" w:rsidR="00E613D7" w:rsidRPr="0031256F" w:rsidRDefault="00E613D7" w:rsidP="00E613D7">
            <w:r>
              <w:t>2.6 Activities are designed to help build a sense of community, rather than each</w:t>
            </w:r>
            <w:r>
              <w:t xml:space="preserve"> </w:t>
            </w:r>
            <w:r>
              <w:t>learner working independently.</w:t>
            </w:r>
          </w:p>
        </w:tc>
        <w:tc>
          <w:tcPr>
            <w:tcW w:w="872" w:type="dxa"/>
          </w:tcPr>
          <w:p w14:paraId="4FA17BEC" w14:textId="0B614FC3" w:rsidR="00E613D7" w:rsidRDefault="00E613D7">
            <w:r>
              <w:t>2</w:t>
            </w:r>
          </w:p>
        </w:tc>
        <w:tc>
          <w:tcPr>
            <w:tcW w:w="5018" w:type="dxa"/>
          </w:tcPr>
          <w:p w14:paraId="011BF411" w14:textId="77777777" w:rsidR="00E613D7" w:rsidRDefault="00E613D7"/>
        </w:tc>
      </w:tr>
      <w:tr w:rsidR="00E613D7" w14:paraId="4BF734BF" w14:textId="77777777" w:rsidTr="0033119B">
        <w:tc>
          <w:tcPr>
            <w:tcW w:w="2005" w:type="dxa"/>
            <w:vMerge w:val="restart"/>
          </w:tcPr>
          <w:p w14:paraId="3FEB8A10" w14:textId="77777777" w:rsidR="00E613D7" w:rsidRDefault="00E613D7" w:rsidP="00E613D7">
            <w:r>
              <w:t>Interaction</w:t>
            </w:r>
          </w:p>
          <w:p w14:paraId="6EF8FA95" w14:textId="4A1C6207" w:rsidR="00E613D7" w:rsidRDefault="00E613D7" w:rsidP="00E613D7">
            <w:r>
              <w:t>Logistics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60B205A9" w14:textId="16C3FB01" w:rsidR="00E613D7" w:rsidRPr="0031256F" w:rsidRDefault="00E613D7" w:rsidP="00E613D7">
            <w:r>
              <w:t>2.7 Learners are provided a rubric or scoring guidelines to evaluate participation</w:t>
            </w:r>
            <w:r>
              <w:t xml:space="preserve"> </w:t>
            </w:r>
            <w:r>
              <w:t>and interaction.</w:t>
            </w:r>
          </w:p>
        </w:tc>
        <w:tc>
          <w:tcPr>
            <w:tcW w:w="872" w:type="dxa"/>
          </w:tcPr>
          <w:p w14:paraId="28901503" w14:textId="778110B4" w:rsidR="00E613D7" w:rsidRDefault="00E613D7">
            <w:r>
              <w:t>5</w:t>
            </w:r>
          </w:p>
        </w:tc>
        <w:tc>
          <w:tcPr>
            <w:tcW w:w="5018" w:type="dxa"/>
          </w:tcPr>
          <w:p w14:paraId="3A82EE28" w14:textId="77777777" w:rsidR="00E613D7" w:rsidRDefault="00E613D7"/>
        </w:tc>
      </w:tr>
      <w:tr w:rsidR="00E613D7" w14:paraId="6F60405C" w14:textId="77777777" w:rsidTr="0033119B">
        <w:tc>
          <w:tcPr>
            <w:tcW w:w="2005" w:type="dxa"/>
            <w:vMerge/>
          </w:tcPr>
          <w:p w14:paraId="79D1E4F3" w14:textId="77777777" w:rsidR="00E613D7" w:rsidRDefault="00E613D7"/>
        </w:tc>
        <w:tc>
          <w:tcPr>
            <w:tcW w:w="5277" w:type="dxa"/>
          </w:tcPr>
          <w:p w14:paraId="04492AB4" w14:textId="3F0C3935" w:rsidR="00E613D7" w:rsidRPr="0031256F" w:rsidRDefault="00E613D7" w:rsidP="00E613D7">
            <w:r>
              <w:t>2.8 Instructions are written clearly (e.g., quantity of interactions, levels of</w:t>
            </w:r>
            <w:r>
              <w:t xml:space="preserve"> </w:t>
            </w:r>
            <w:r>
              <w:t>participation).</w:t>
            </w:r>
          </w:p>
        </w:tc>
        <w:tc>
          <w:tcPr>
            <w:tcW w:w="872" w:type="dxa"/>
          </w:tcPr>
          <w:p w14:paraId="05F7E894" w14:textId="2D6AC433" w:rsidR="00E613D7" w:rsidRDefault="00E613D7">
            <w:r>
              <w:t>3</w:t>
            </w:r>
          </w:p>
        </w:tc>
        <w:tc>
          <w:tcPr>
            <w:tcW w:w="5018" w:type="dxa"/>
          </w:tcPr>
          <w:p w14:paraId="12A21730" w14:textId="77777777" w:rsidR="00E613D7" w:rsidRDefault="00E613D7"/>
        </w:tc>
      </w:tr>
      <w:tr w:rsidR="00E613D7" w14:paraId="5C661C27" w14:textId="77777777" w:rsidTr="0033119B">
        <w:tc>
          <w:tcPr>
            <w:tcW w:w="2005" w:type="dxa"/>
            <w:vMerge/>
          </w:tcPr>
          <w:p w14:paraId="35D88A27" w14:textId="77777777" w:rsidR="00E613D7" w:rsidRDefault="00E613D7"/>
        </w:tc>
        <w:tc>
          <w:tcPr>
            <w:tcW w:w="5277" w:type="dxa"/>
          </w:tcPr>
          <w:p w14:paraId="4F38C6E5" w14:textId="760A56DB" w:rsidR="00E613D7" w:rsidRPr="0031256F" w:rsidRDefault="00E613D7" w:rsidP="00E613D7">
            <w:r>
              <w:t>2.9 Expectations for interaction are clearly outlined (e.g., what constitutes a</w:t>
            </w:r>
            <w:r>
              <w:t xml:space="preserve"> </w:t>
            </w:r>
            <w:r>
              <w:t>"good" response in discussion forums).</w:t>
            </w:r>
          </w:p>
        </w:tc>
        <w:tc>
          <w:tcPr>
            <w:tcW w:w="872" w:type="dxa"/>
          </w:tcPr>
          <w:p w14:paraId="50331908" w14:textId="10B4892C" w:rsidR="00E613D7" w:rsidRDefault="00E613D7">
            <w:r>
              <w:t>4</w:t>
            </w:r>
          </w:p>
        </w:tc>
        <w:tc>
          <w:tcPr>
            <w:tcW w:w="5018" w:type="dxa"/>
          </w:tcPr>
          <w:p w14:paraId="53541994" w14:textId="77777777" w:rsidR="00E613D7" w:rsidRDefault="00E613D7"/>
        </w:tc>
      </w:tr>
    </w:tbl>
    <w:p w14:paraId="28A1409A" w14:textId="77777777" w:rsidR="0033119B" w:rsidRDefault="0033119B">
      <w:r>
        <w:br w:type="page"/>
      </w:r>
    </w:p>
    <w:tbl>
      <w:tblPr>
        <w:tblStyle w:val="TableGrid"/>
        <w:tblW w:w="13172" w:type="dxa"/>
        <w:tblLook w:val="04A0" w:firstRow="1" w:lastRow="0" w:firstColumn="1" w:lastColumn="0" w:noHBand="0" w:noVBand="1"/>
      </w:tblPr>
      <w:tblGrid>
        <w:gridCol w:w="2005"/>
        <w:gridCol w:w="5277"/>
        <w:gridCol w:w="872"/>
        <w:gridCol w:w="5018"/>
      </w:tblGrid>
      <w:tr w:rsidR="00E613D7" w14:paraId="35FEF366" w14:textId="77777777" w:rsidTr="0033119B">
        <w:tc>
          <w:tcPr>
            <w:tcW w:w="13172" w:type="dxa"/>
            <w:gridSpan w:val="4"/>
          </w:tcPr>
          <w:p w14:paraId="571E06FD" w14:textId="69A63738" w:rsidR="00E613D7" w:rsidRDefault="00E613D7" w:rsidP="009725EF">
            <w:pPr>
              <w:jc w:val="center"/>
            </w:pPr>
            <w:r w:rsidRPr="00E613D7">
              <w:lastRenderedPageBreak/>
              <w:t>3.0 Assessment</w:t>
            </w:r>
          </w:p>
        </w:tc>
      </w:tr>
      <w:tr w:rsidR="00E613D7" w14:paraId="7347F1E2" w14:textId="77777777" w:rsidTr="0033119B">
        <w:tc>
          <w:tcPr>
            <w:tcW w:w="2005" w:type="dxa"/>
            <w:vMerge w:val="restart"/>
          </w:tcPr>
          <w:p w14:paraId="5D3483B2" w14:textId="7049F77B" w:rsidR="00E613D7" w:rsidRDefault="00E613D7" w:rsidP="00E613D7">
            <w:r>
              <w:t>Learner</w:t>
            </w:r>
            <w:r>
              <w:t xml:space="preserve"> </w:t>
            </w:r>
            <w:r>
              <w:t>Expectations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42AD2765" w14:textId="3B74CC19" w:rsidR="00E613D7" w:rsidRPr="0031256F" w:rsidRDefault="00E613D7" w:rsidP="00E613D7">
            <w:r>
              <w:t>3.1 It is clear to learners how performance in assessments will be evaluated</w:t>
            </w:r>
            <w:r>
              <w:t xml:space="preserve"> </w:t>
            </w:r>
            <w:r>
              <w:t>(e.g., rubric, scoring guidelines, section in syllabus).</w:t>
            </w:r>
          </w:p>
        </w:tc>
        <w:tc>
          <w:tcPr>
            <w:tcW w:w="872" w:type="dxa"/>
          </w:tcPr>
          <w:p w14:paraId="07CD1E78" w14:textId="5FB6FCE9" w:rsidR="00E613D7" w:rsidRDefault="00E613D7">
            <w:r>
              <w:t>5</w:t>
            </w:r>
          </w:p>
        </w:tc>
        <w:tc>
          <w:tcPr>
            <w:tcW w:w="5018" w:type="dxa"/>
          </w:tcPr>
          <w:p w14:paraId="63168DBA" w14:textId="77777777" w:rsidR="00E613D7" w:rsidRDefault="00E613D7"/>
        </w:tc>
      </w:tr>
      <w:tr w:rsidR="00E613D7" w14:paraId="211EF6E9" w14:textId="77777777" w:rsidTr="0033119B">
        <w:tc>
          <w:tcPr>
            <w:tcW w:w="2005" w:type="dxa"/>
            <w:vMerge/>
          </w:tcPr>
          <w:p w14:paraId="61DAF824" w14:textId="77777777" w:rsidR="00E613D7" w:rsidRDefault="00E613D7"/>
        </w:tc>
        <w:tc>
          <w:tcPr>
            <w:tcW w:w="5277" w:type="dxa"/>
          </w:tcPr>
          <w:p w14:paraId="286E7AA9" w14:textId="785FCA60" w:rsidR="00E613D7" w:rsidRPr="0031256F" w:rsidRDefault="00E613D7" w:rsidP="00E613D7">
            <w:r>
              <w:t>3.2 Assessments align to goals, objectives, and content and are visible to the</w:t>
            </w:r>
            <w:r>
              <w:t xml:space="preserve"> </w:t>
            </w:r>
            <w:r>
              <w:t>learner.</w:t>
            </w:r>
          </w:p>
        </w:tc>
        <w:tc>
          <w:tcPr>
            <w:tcW w:w="872" w:type="dxa"/>
          </w:tcPr>
          <w:p w14:paraId="3164695B" w14:textId="0A11646B" w:rsidR="00E613D7" w:rsidRDefault="00E613D7">
            <w:r>
              <w:t>4</w:t>
            </w:r>
          </w:p>
        </w:tc>
        <w:tc>
          <w:tcPr>
            <w:tcW w:w="5018" w:type="dxa"/>
          </w:tcPr>
          <w:p w14:paraId="742A983B" w14:textId="77777777" w:rsidR="00E613D7" w:rsidRDefault="00E613D7"/>
        </w:tc>
      </w:tr>
      <w:tr w:rsidR="00E613D7" w14:paraId="2AE12A74" w14:textId="77777777" w:rsidTr="0033119B">
        <w:tc>
          <w:tcPr>
            <w:tcW w:w="2005" w:type="dxa"/>
            <w:vMerge/>
          </w:tcPr>
          <w:p w14:paraId="0D349B19" w14:textId="77777777" w:rsidR="00E613D7" w:rsidRDefault="00E613D7"/>
        </w:tc>
        <w:tc>
          <w:tcPr>
            <w:tcW w:w="5277" w:type="dxa"/>
          </w:tcPr>
          <w:p w14:paraId="362ED8DD" w14:textId="2E0C0001" w:rsidR="00E613D7" w:rsidRPr="0031256F" w:rsidRDefault="00E613D7" w:rsidP="00E613D7">
            <w:r>
              <w:t>3.3 Instructions are written clearly (e.g., grading, acceptable file formats, due</w:t>
            </w:r>
            <w:r>
              <w:t xml:space="preserve"> </w:t>
            </w:r>
            <w:r>
              <w:t>dates, number of attempts, required posts) and presented inline.</w:t>
            </w:r>
          </w:p>
        </w:tc>
        <w:tc>
          <w:tcPr>
            <w:tcW w:w="872" w:type="dxa"/>
          </w:tcPr>
          <w:p w14:paraId="3E425467" w14:textId="58461451" w:rsidR="00E613D7" w:rsidRDefault="00E613D7">
            <w:r>
              <w:t>4</w:t>
            </w:r>
          </w:p>
        </w:tc>
        <w:tc>
          <w:tcPr>
            <w:tcW w:w="5018" w:type="dxa"/>
          </w:tcPr>
          <w:p w14:paraId="11ACBD27" w14:textId="77777777" w:rsidR="00E613D7" w:rsidRDefault="00E613D7"/>
        </w:tc>
      </w:tr>
      <w:tr w:rsidR="00E613D7" w14:paraId="4B0A37F4" w14:textId="77777777" w:rsidTr="0033119B">
        <w:tc>
          <w:tcPr>
            <w:tcW w:w="2005" w:type="dxa"/>
            <w:vMerge/>
          </w:tcPr>
          <w:p w14:paraId="2955528F" w14:textId="77777777" w:rsidR="00E613D7" w:rsidRDefault="00E613D7"/>
        </w:tc>
        <w:tc>
          <w:tcPr>
            <w:tcW w:w="5277" w:type="dxa"/>
          </w:tcPr>
          <w:p w14:paraId="494D0739" w14:textId="425C084B" w:rsidR="00E613D7" w:rsidRPr="0031256F" w:rsidRDefault="00E613D7" w:rsidP="00E613D7">
            <w:r>
              <w:t>3.4 Template or examples of quality work are provided to the learner where</w:t>
            </w:r>
            <w:r>
              <w:t xml:space="preserve"> </w:t>
            </w:r>
            <w:r>
              <w:t>appropriate (e.g., successful research papers from prior semesters, template</w:t>
            </w:r>
            <w:r>
              <w:t xml:space="preserve"> </w:t>
            </w:r>
            <w:r>
              <w:t>with guidelines, written discussion responses).</w:t>
            </w:r>
          </w:p>
        </w:tc>
        <w:tc>
          <w:tcPr>
            <w:tcW w:w="872" w:type="dxa"/>
          </w:tcPr>
          <w:p w14:paraId="2B1AF64B" w14:textId="13865127" w:rsidR="00E613D7" w:rsidRDefault="00E613D7">
            <w:r>
              <w:t>4</w:t>
            </w:r>
          </w:p>
        </w:tc>
        <w:tc>
          <w:tcPr>
            <w:tcW w:w="5018" w:type="dxa"/>
          </w:tcPr>
          <w:p w14:paraId="446753E4" w14:textId="77777777" w:rsidR="00E613D7" w:rsidRDefault="00E613D7"/>
        </w:tc>
      </w:tr>
      <w:tr w:rsidR="00E613D7" w14:paraId="086B2D38" w14:textId="77777777" w:rsidTr="0033119B">
        <w:tc>
          <w:tcPr>
            <w:tcW w:w="2005" w:type="dxa"/>
            <w:vMerge w:val="restart"/>
          </w:tcPr>
          <w:p w14:paraId="4894D2F8" w14:textId="4084EEEB" w:rsidR="00E613D7" w:rsidRDefault="00E613D7">
            <w:r w:rsidRPr="00E613D7">
              <w:t>Assessment Design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106E5547" w14:textId="0EA88F7E" w:rsidR="00E613D7" w:rsidRPr="0031256F" w:rsidRDefault="00E613D7" w:rsidP="00E613D7">
            <w:r>
              <w:t>3.5 Formative and summative assessments occur regularly throughout the</w:t>
            </w:r>
            <w:r>
              <w:t xml:space="preserve"> </w:t>
            </w:r>
            <w:r>
              <w:t>course to gauge student success and inform learner progress toward course</w:t>
            </w:r>
            <w:r>
              <w:t xml:space="preserve"> </w:t>
            </w:r>
            <w:r>
              <w:t>objectives.</w:t>
            </w:r>
          </w:p>
        </w:tc>
        <w:tc>
          <w:tcPr>
            <w:tcW w:w="872" w:type="dxa"/>
          </w:tcPr>
          <w:p w14:paraId="73CA4ED2" w14:textId="68EFD101" w:rsidR="00E613D7" w:rsidRDefault="009725EF">
            <w:r>
              <w:t>5</w:t>
            </w:r>
          </w:p>
        </w:tc>
        <w:tc>
          <w:tcPr>
            <w:tcW w:w="5018" w:type="dxa"/>
          </w:tcPr>
          <w:p w14:paraId="333EB9D0" w14:textId="77777777" w:rsidR="00E613D7" w:rsidRDefault="00E613D7"/>
        </w:tc>
      </w:tr>
      <w:tr w:rsidR="00E613D7" w14:paraId="6FE7F851" w14:textId="77777777" w:rsidTr="0033119B">
        <w:tc>
          <w:tcPr>
            <w:tcW w:w="2005" w:type="dxa"/>
            <w:vMerge/>
          </w:tcPr>
          <w:p w14:paraId="7A38AAE6" w14:textId="77777777" w:rsidR="00E613D7" w:rsidRDefault="00E613D7"/>
        </w:tc>
        <w:tc>
          <w:tcPr>
            <w:tcW w:w="5277" w:type="dxa"/>
            <w:shd w:val="clear" w:color="auto" w:fill="FFD966" w:themeFill="accent4" w:themeFillTint="99"/>
          </w:tcPr>
          <w:p w14:paraId="6B0130FD" w14:textId="14A7D863" w:rsidR="00E613D7" w:rsidRPr="0031256F" w:rsidRDefault="00E613D7" w:rsidP="00E613D7">
            <w:r>
              <w:t>3.6 Multiple types of assessments are used (e.g., research project, objective</w:t>
            </w:r>
            <w:r>
              <w:t xml:space="preserve"> </w:t>
            </w:r>
            <w:r>
              <w:t>test, discussions, etc.).</w:t>
            </w:r>
          </w:p>
        </w:tc>
        <w:tc>
          <w:tcPr>
            <w:tcW w:w="872" w:type="dxa"/>
          </w:tcPr>
          <w:p w14:paraId="27C1486E" w14:textId="53320E65" w:rsidR="00E613D7" w:rsidRDefault="009725EF">
            <w:r>
              <w:t>5</w:t>
            </w:r>
          </w:p>
        </w:tc>
        <w:tc>
          <w:tcPr>
            <w:tcW w:w="5018" w:type="dxa"/>
          </w:tcPr>
          <w:p w14:paraId="3D047ACE" w14:textId="77777777" w:rsidR="00E613D7" w:rsidRDefault="00E613D7"/>
        </w:tc>
      </w:tr>
      <w:tr w:rsidR="00E613D7" w14:paraId="0EA63F99" w14:textId="77777777" w:rsidTr="0033119B">
        <w:tc>
          <w:tcPr>
            <w:tcW w:w="2005" w:type="dxa"/>
            <w:vMerge/>
          </w:tcPr>
          <w:p w14:paraId="47092B4A" w14:textId="77777777" w:rsidR="00E613D7" w:rsidRDefault="00E613D7"/>
        </w:tc>
        <w:tc>
          <w:tcPr>
            <w:tcW w:w="5277" w:type="dxa"/>
          </w:tcPr>
          <w:p w14:paraId="45CE94AB" w14:textId="6659AA6B" w:rsidR="00E613D7" w:rsidRPr="0031256F" w:rsidRDefault="00E613D7" w:rsidP="00E613D7">
            <w:r>
              <w:t>3.7 Assessments are designed to mimic authentic environments to facilitate</w:t>
            </w:r>
            <w:r>
              <w:t xml:space="preserve"> </w:t>
            </w:r>
            <w:r>
              <w:t>knowledge transfer (e.g., role-playing, scenario-based questions, clinical</w:t>
            </w:r>
            <w:r>
              <w:t xml:space="preserve"> </w:t>
            </w:r>
            <w:r>
              <w:t>experience, practicum).</w:t>
            </w:r>
          </w:p>
        </w:tc>
        <w:tc>
          <w:tcPr>
            <w:tcW w:w="872" w:type="dxa"/>
          </w:tcPr>
          <w:p w14:paraId="212A3558" w14:textId="425F1C45" w:rsidR="00E613D7" w:rsidRDefault="009725EF">
            <w:r>
              <w:t>4</w:t>
            </w:r>
          </w:p>
        </w:tc>
        <w:tc>
          <w:tcPr>
            <w:tcW w:w="5018" w:type="dxa"/>
          </w:tcPr>
          <w:p w14:paraId="6B4D46E9" w14:textId="77777777" w:rsidR="00E613D7" w:rsidRDefault="00E613D7"/>
        </w:tc>
      </w:tr>
      <w:tr w:rsidR="009725EF" w14:paraId="7401CBCD" w14:textId="77777777" w:rsidTr="0033119B">
        <w:tc>
          <w:tcPr>
            <w:tcW w:w="2005" w:type="dxa"/>
            <w:vMerge w:val="restart"/>
          </w:tcPr>
          <w:p w14:paraId="51BD442A" w14:textId="53913610" w:rsidR="009725EF" w:rsidRDefault="009725EF" w:rsidP="009725EF">
            <w:r>
              <w:t>Learner Self-Assessment</w:t>
            </w:r>
          </w:p>
        </w:tc>
        <w:tc>
          <w:tcPr>
            <w:tcW w:w="5277" w:type="dxa"/>
          </w:tcPr>
          <w:p w14:paraId="64ECD5FC" w14:textId="060FA780" w:rsidR="009725EF" w:rsidRPr="0031256F" w:rsidRDefault="009725EF" w:rsidP="009725EF">
            <w:r>
              <w:t>3.8 Opportunities for learner self-assessment are provided (e.g., practice</w:t>
            </w:r>
            <w:r>
              <w:t xml:space="preserve"> </w:t>
            </w:r>
            <w:r>
              <w:t>test/quiz, journal, self-reflection, knowledge check, etc.).</w:t>
            </w:r>
          </w:p>
        </w:tc>
        <w:tc>
          <w:tcPr>
            <w:tcW w:w="872" w:type="dxa"/>
          </w:tcPr>
          <w:p w14:paraId="6CDA1B15" w14:textId="37B5B6AC" w:rsidR="009725EF" w:rsidRDefault="009725EF">
            <w:r>
              <w:t>2</w:t>
            </w:r>
          </w:p>
        </w:tc>
        <w:tc>
          <w:tcPr>
            <w:tcW w:w="5018" w:type="dxa"/>
          </w:tcPr>
          <w:p w14:paraId="064DDC1C" w14:textId="77777777" w:rsidR="009725EF" w:rsidRDefault="009725EF"/>
        </w:tc>
      </w:tr>
      <w:tr w:rsidR="009725EF" w14:paraId="2F25F5BA" w14:textId="77777777" w:rsidTr="0033119B">
        <w:tc>
          <w:tcPr>
            <w:tcW w:w="2005" w:type="dxa"/>
            <w:vMerge/>
          </w:tcPr>
          <w:p w14:paraId="2EAC90FC" w14:textId="77777777" w:rsidR="009725EF" w:rsidRDefault="009725EF"/>
        </w:tc>
        <w:tc>
          <w:tcPr>
            <w:tcW w:w="5277" w:type="dxa"/>
          </w:tcPr>
          <w:p w14:paraId="2D42D569" w14:textId="5C0EB037" w:rsidR="009725EF" w:rsidRPr="0031256F" w:rsidRDefault="009725EF">
            <w:r w:rsidRPr="009725EF">
              <w:t>3.9 Self-assessments are purposeful and clearly marked as such.</w:t>
            </w:r>
          </w:p>
        </w:tc>
        <w:tc>
          <w:tcPr>
            <w:tcW w:w="872" w:type="dxa"/>
          </w:tcPr>
          <w:p w14:paraId="7801EA05" w14:textId="14CEA5F7" w:rsidR="009725EF" w:rsidRDefault="009725EF">
            <w:r>
              <w:t>2</w:t>
            </w:r>
          </w:p>
        </w:tc>
        <w:tc>
          <w:tcPr>
            <w:tcW w:w="5018" w:type="dxa"/>
          </w:tcPr>
          <w:p w14:paraId="7C7BA997" w14:textId="6269EDA4" w:rsidR="009725EF" w:rsidRDefault="009725EF"/>
        </w:tc>
      </w:tr>
    </w:tbl>
    <w:p w14:paraId="7DEE18F3" w14:textId="77777777" w:rsidR="0033119B" w:rsidRDefault="0033119B">
      <w:r>
        <w:br w:type="page"/>
      </w:r>
    </w:p>
    <w:tbl>
      <w:tblPr>
        <w:tblStyle w:val="TableGrid"/>
        <w:tblW w:w="13172" w:type="dxa"/>
        <w:tblLook w:val="04A0" w:firstRow="1" w:lastRow="0" w:firstColumn="1" w:lastColumn="0" w:noHBand="0" w:noVBand="1"/>
      </w:tblPr>
      <w:tblGrid>
        <w:gridCol w:w="2005"/>
        <w:gridCol w:w="5277"/>
        <w:gridCol w:w="872"/>
        <w:gridCol w:w="5018"/>
      </w:tblGrid>
      <w:tr w:rsidR="009725EF" w14:paraId="7EAA486F" w14:textId="77777777" w:rsidTr="0033119B">
        <w:tc>
          <w:tcPr>
            <w:tcW w:w="13172" w:type="dxa"/>
            <w:gridSpan w:val="4"/>
          </w:tcPr>
          <w:p w14:paraId="1082A2C0" w14:textId="4D3824F1" w:rsidR="009725EF" w:rsidRDefault="009725EF" w:rsidP="009725EF">
            <w:pPr>
              <w:jc w:val="center"/>
            </w:pPr>
            <w:r w:rsidRPr="009725EF">
              <w:lastRenderedPageBreak/>
              <w:t>4.0 Learner Support</w:t>
            </w:r>
          </w:p>
        </w:tc>
      </w:tr>
      <w:tr w:rsidR="009725EF" w14:paraId="7C2DBD61" w14:textId="77777777" w:rsidTr="0033119B">
        <w:tc>
          <w:tcPr>
            <w:tcW w:w="2005" w:type="dxa"/>
            <w:vMerge w:val="restart"/>
          </w:tcPr>
          <w:p w14:paraId="4EA89794" w14:textId="26D73814" w:rsidR="009725EF" w:rsidRDefault="009725EF" w:rsidP="009725EF">
            <w:r>
              <w:t>Orientation to</w:t>
            </w:r>
            <w:r>
              <w:t xml:space="preserve"> </w:t>
            </w:r>
            <w:r>
              <w:t>Course and LMS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34CBE168" w14:textId="2717FE3F" w:rsidR="009725EF" w:rsidRPr="0031256F" w:rsidRDefault="009725EF">
            <w:r w:rsidRPr="009725EF">
              <w:t>4.1 Orientation materials explain how to navigate both the LMS and the course.</w:t>
            </w:r>
          </w:p>
        </w:tc>
        <w:tc>
          <w:tcPr>
            <w:tcW w:w="872" w:type="dxa"/>
          </w:tcPr>
          <w:p w14:paraId="0C93280E" w14:textId="08B5E9AD" w:rsidR="009725EF" w:rsidRDefault="009725EF">
            <w:r>
              <w:t>5</w:t>
            </w:r>
          </w:p>
        </w:tc>
        <w:tc>
          <w:tcPr>
            <w:tcW w:w="5018" w:type="dxa"/>
          </w:tcPr>
          <w:p w14:paraId="04744954" w14:textId="77777777" w:rsidR="009725EF" w:rsidRDefault="009725EF"/>
        </w:tc>
      </w:tr>
      <w:tr w:rsidR="009725EF" w14:paraId="6B06BC61" w14:textId="77777777" w:rsidTr="0033119B">
        <w:tc>
          <w:tcPr>
            <w:tcW w:w="2005" w:type="dxa"/>
            <w:vMerge/>
          </w:tcPr>
          <w:p w14:paraId="374A7BA4" w14:textId="77777777" w:rsidR="009725EF" w:rsidRDefault="009725EF"/>
        </w:tc>
        <w:tc>
          <w:tcPr>
            <w:tcW w:w="5277" w:type="dxa"/>
          </w:tcPr>
          <w:p w14:paraId="3F760EA1" w14:textId="57E6098A" w:rsidR="009725EF" w:rsidRPr="0031256F" w:rsidRDefault="009725EF" w:rsidP="009725EF">
            <w:r>
              <w:t>4.2 Orientation materials are readily identifiable within the context of the</w:t>
            </w:r>
            <w:r>
              <w:t xml:space="preserve"> </w:t>
            </w:r>
            <w:r>
              <w:t>course.</w:t>
            </w:r>
          </w:p>
        </w:tc>
        <w:tc>
          <w:tcPr>
            <w:tcW w:w="872" w:type="dxa"/>
          </w:tcPr>
          <w:p w14:paraId="2F1C1E57" w14:textId="45D23FC7" w:rsidR="009725EF" w:rsidRDefault="009725EF">
            <w:r>
              <w:t>3</w:t>
            </w:r>
          </w:p>
        </w:tc>
        <w:tc>
          <w:tcPr>
            <w:tcW w:w="5018" w:type="dxa"/>
          </w:tcPr>
          <w:p w14:paraId="64C4C000" w14:textId="77777777" w:rsidR="009725EF" w:rsidRDefault="009725EF"/>
        </w:tc>
      </w:tr>
      <w:tr w:rsidR="009725EF" w14:paraId="11229ED9" w14:textId="77777777" w:rsidTr="0033119B">
        <w:tc>
          <w:tcPr>
            <w:tcW w:w="2005" w:type="dxa"/>
            <w:vMerge/>
          </w:tcPr>
          <w:p w14:paraId="444D7B03" w14:textId="77777777" w:rsidR="009725EF" w:rsidRDefault="009725EF"/>
        </w:tc>
        <w:tc>
          <w:tcPr>
            <w:tcW w:w="5277" w:type="dxa"/>
          </w:tcPr>
          <w:p w14:paraId="6B74ED04" w14:textId="2D67F886" w:rsidR="009725EF" w:rsidRPr="0031256F" w:rsidRDefault="009725EF" w:rsidP="009725EF">
            <w:r>
              <w:t>4.3 Information regarding required/optional technology, including how to</w:t>
            </w:r>
            <w:r>
              <w:t xml:space="preserve"> </w:t>
            </w:r>
            <w:r>
              <w:t>access/acquire, and any additional costs, is provided.</w:t>
            </w:r>
          </w:p>
        </w:tc>
        <w:tc>
          <w:tcPr>
            <w:tcW w:w="872" w:type="dxa"/>
          </w:tcPr>
          <w:p w14:paraId="7FB5A4DD" w14:textId="2DE59C65" w:rsidR="009725EF" w:rsidRDefault="009725EF">
            <w:r>
              <w:t>3</w:t>
            </w:r>
          </w:p>
        </w:tc>
        <w:tc>
          <w:tcPr>
            <w:tcW w:w="5018" w:type="dxa"/>
          </w:tcPr>
          <w:p w14:paraId="7682C092" w14:textId="77777777" w:rsidR="009725EF" w:rsidRDefault="009725EF"/>
        </w:tc>
      </w:tr>
      <w:tr w:rsidR="009725EF" w14:paraId="58FAB6D7" w14:textId="77777777" w:rsidTr="0033119B">
        <w:tc>
          <w:tcPr>
            <w:tcW w:w="2005" w:type="dxa"/>
            <w:vMerge w:val="restart"/>
          </w:tcPr>
          <w:p w14:paraId="555E118C" w14:textId="642DBFF3" w:rsidR="009725EF" w:rsidRDefault="009725EF" w:rsidP="009725EF">
            <w:r>
              <w:t>Instructor Contact</w:t>
            </w:r>
            <w:r>
              <w:t xml:space="preserve"> </w:t>
            </w:r>
            <w:r>
              <w:t>Information &amp;</w:t>
            </w:r>
            <w:r>
              <w:t xml:space="preserve"> </w:t>
            </w:r>
            <w:r>
              <w:t>Communication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14D405AC" w14:textId="17E67A9E" w:rsidR="009725EF" w:rsidRPr="0031256F" w:rsidRDefault="009725EF">
            <w:r w:rsidRPr="009725EF">
              <w:t>4.4 Contact information for the instructor is easy to find.</w:t>
            </w:r>
          </w:p>
        </w:tc>
        <w:tc>
          <w:tcPr>
            <w:tcW w:w="872" w:type="dxa"/>
          </w:tcPr>
          <w:p w14:paraId="24EA5AD9" w14:textId="2B14FE47" w:rsidR="009725EF" w:rsidRDefault="009725EF">
            <w:r>
              <w:t>5</w:t>
            </w:r>
          </w:p>
        </w:tc>
        <w:tc>
          <w:tcPr>
            <w:tcW w:w="5018" w:type="dxa"/>
          </w:tcPr>
          <w:p w14:paraId="4DABF59F" w14:textId="77777777" w:rsidR="009725EF" w:rsidRDefault="009725EF"/>
        </w:tc>
      </w:tr>
      <w:tr w:rsidR="009725EF" w14:paraId="362E3F59" w14:textId="77777777" w:rsidTr="0033119B">
        <w:tc>
          <w:tcPr>
            <w:tcW w:w="2005" w:type="dxa"/>
            <w:vMerge/>
          </w:tcPr>
          <w:p w14:paraId="384B311A" w14:textId="77777777" w:rsidR="009725EF" w:rsidRDefault="009725EF"/>
        </w:tc>
        <w:tc>
          <w:tcPr>
            <w:tcW w:w="5277" w:type="dxa"/>
          </w:tcPr>
          <w:p w14:paraId="37A779EE" w14:textId="5FDECAA6" w:rsidR="009725EF" w:rsidRPr="0031256F" w:rsidRDefault="009725EF" w:rsidP="009725EF">
            <w:r>
              <w:t>4.5 The instructor’s methods for collecting and returning work are clearly</w:t>
            </w:r>
            <w:r>
              <w:t xml:space="preserve"> </w:t>
            </w:r>
            <w:r>
              <w:t>explained (e.g., submission details, accept early or late assignments).</w:t>
            </w:r>
          </w:p>
        </w:tc>
        <w:tc>
          <w:tcPr>
            <w:tcW w:w="872" w:type="dxa"/>
          </w:tcPr>
          <w:p w14:paraId="2EFD5DE1" w14:textId="5F6BC61A" w:rsidR="009725EF" w:rsidRDefault="009725EF">
            <w:r>
              <w:t>4</w:t>
            </w:r>
          </w:p>
        </w:tc>
        <w:tc>
          <w:tcPr>
            <w:tcW w:w="5018" w:type="dxa"/>
          </w:tcPr>
          <w:p w14:paraId="49073FFA" w14:textId="77777777" w:rsidR="009725EF" w:rsidRDefault="009725EF"/>
        </w:tc>
      </w:tr>
      <w:tr w:rsidR="009725EF" w14:paraId="7C89A74A" w14:textId="77777777" w:rsidTr="0033119B">
        <w:tc>
          <w:tcPr>
            <w:tcW w:w="2005" w:type="dxa"/>
            <w:vMerge/>
          </w:tcPr>
          <w:p w14:paraId="1840A9DF" w14:textId="77777777" w:rsidR="009725EF" w:rsidRDefault="009725EF"/>
        </w:tc>
        <w:tc>
          <w:tcPr>
            <w:tcW w:w="5277" w:type="dxa"/>
          </w:tcPr>
          <w:p w14:paraId="03C18A3C" w14:textId="1760350E" w:rsidR="009725EF" w:rsidRPr="0031256F" w:rsidRDefault="009725EF" w:rsidP="009725EF">
            <w:r>
              <w:t>4.6 Acceptable communication methods for contacting the instructor are</w:t>
            </w:r>
            <w:r>
              <w:t xml:space="preserve"> </w:t>
            </w:r>
            <w:r>
              <w:t>identified and included (e.g., email, phone, messages, chat, social media).</w:t>
            </w:r>
          </w:p>
        </w:tc>
        <w:tc>
          <w:tcPr>
            <w:tcW w:w="872" w:type="dxa"/>
          </w:tcPr>
          <w:p w14:paraId="32E0D872" w14:textId="449BCB41" w:rsidR="009725EF" w:rsidRDefault="009725EF">
            <w:r>
              <w:t>4</w:t>
            </w:r>
          </w:p>
        </w:tc>
        <w:tc>
          <w:tcPr>
            <w:tcW w:w="5018" w:type="dxa"/>
          </w:tcPr>
          <w:p w14:paraId="76DC4D2D" w14:textId="77777777" w:rsidR="009725EF" w:rsidRDefault="009725EF"/>
        </w:tc>
      </w:tr>
      <w:tr w:rsidR="009725EF" w14:paraId="4AA0D1E1" w14:textId="77777777" w:rsidTr="0033119B">
        <w:tc>
          <w:tcPr>
            <w:tcW w:w="2005" w:type="dxa"/>
            <w:vMerge/>
          </w:tcPr>
          <w:p w14:paraId="0C5BB6C9" w14:textId="77777777" w:rsidR="009725EF" w:rsidRDefault="009725EF"/>
        </w:tc>
        <w:tc>
          <w:tcPr>
            <w:tcW w:w="5277" w:type="dxa"/>
          </w:tcPr>
          <w:p w14:paraId="358000AE" w14:textId="46CA67C4" w:rsidR="009725EF" w:rsidRPr="0031256F" w:rsidRDefault="009725EF">
            <w:r w:rsidRPr="009725EF">
              <w:t>4.7 Expected response time for instructor replies is included.</w:t>
            </w:r>
          </w:p>
        </w:tc>
        <w:tc>
          <w:tcPr>
            <w:tcW w:w="872" w:type="dxa"/>
          </w:tcPr>
          <w:p w14:paraId="0AA6EDE1" w14:textId="27D16776" w:rsidR="009725EF" w:rsidRDefault="009725EF">
            <w:r>
              <w:t>3</w:t>
            </w:r>
          </w:p>
        </w:tc>
        <w:tc>
          <w:tcPr>
            <w:tcW w:w="5018" w:type="dxa"/>
          </w:tcPr>
          <w:p w14:paraId="41007BF9" w14:textId="77777777" w:rsidR="009725EF" w:rsidRDefault="009725EF"/>
        </w:tc>
      </w:tr>
      <w:tr w:rsidR="009725EF" w14:paraId="7CF1872E" w14:textId="77777777" w:rsidTr="0033119B">
        <w:tc>
          <w:tcPr>
            <w:tcW w:w="2005" w:type="dxa"/>
            <w:vMerge/>
          </w:tcPr>
          <w:p w14:paraId="11F510A1" w14:textId="77777777" w:rsidR="009725EF" w:rsidRDefault="009725EF"/>
        </w:tc>
        <w:tc>
          <w:tcPr>
            <w:tcW w:w="5277" w:type="dxa"/>
          </w:tcPr>
          <w:p w14:paraId="018BB161" w14:textId="36F333BF" w:rsidR="009725EF" w:rsidRPr="0031256F" w:rsidRDefault="009725EF" w:rsidP="009725EF">
            <w:r>
              <w:t>4.8 The instructor’s role within the course is explained (e.g., full instructor</w:t>
            </w:r>
            <w:r>
              <w:t xml:space="preserve"> </w:t>
            </w:r>
            <w:r>
              <w:t>versus facilitator of self-paced course, etc.).</w:t>
            </w:r>
          </w:p>
        </w:tc>
        <w:tc>
          <w:tcPr>
            <w:tcW w:w="872" w:type="dxa"/>
          </w:tcPr>
          <w:p w14:paraId="67209540" w14:textId="277AF475" w:rsidR="009725EF" w:rsidRDefault="009725EF">
            <w:r>
              <w:t>3</w:t>
            </w:r>
          </w:p>
        </w:tc>
        <w:tc>
          <w:tcPr>
            <w:tcW w:w="5018" w:type="dxa"/>
          </w:tcPr>
          <w:p w14:paraId="680AAF3C" w14:textId="77777777" w:rsidR="009725EF" w:rsidRDefault="009725EF"/>
        </w:tc>
      </w:tr>
      <w:tr w:rsidR="009725EF" w14:paraId="79069635" w14:textId="77777777" w:rsidTr="0033119B">
        <w:tc>
          <w:tcPr>
            <w:tcW w:w="2005" w:type="dxa"/>
            <w:vMerge w:val="restart"/>
          </w:tcPr>
          <w:p w14:paraId="74734576" w14:textId="69379DC8" w:rsidR="009725EF" w:rsidRDefault="009725EF" w:rsidP="009725EF">
            <w:r>
              <w:t>Course/Institutional</w:t>
            </w:r>
            <w:r>
              <w:t xml:space="preserve"> </w:t>
            </w:r>
            <w:r>
              <w:t>Policies &amp; Support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053CB462" w14:textId="58175804" w:rsidR="009725EF" w:rsidRPr="0031256F" w:rsidRDefault="009725EF" w:rsidP="009725EF">
            <w:r>
              <w:t>4.9 Course/institutional policies (e.g., decorum, behavior, netiquette) are clear</w:t>
            </w:r>
            <w:r>
              <w:t xml:space="preserve"> </w:t>
            </w:r>
            <w:r>
              <w:t>and easy to find.</w:t>
            </w:r>
          </w:p>
        </w:tc>
        <w:tc>
          <w:tcPr>
            <w:tcW w:w="872" w:type="dxa"/>
          </w:tcPr>
          <w:p w14:paraId="04E0D877" w14:textId="1AED8B42" w:rsidR="009725EF" w:rsidRDefault="009725EF">
            <w:r>
              <w:t>5</w:t>
            </w:r>
          </w:p>
        </w:tc>
        <w:tc>
          <w:tcPr>
            <w:tcW w:w="5018" w:type="dxa"/>
          </w:tcPr>
          <w:p w14:paraId="40DCFDEF" w14:textId="77777777" w:rsidR="009725EF" w:rsidRDefault="009725EF"/>
        </w:tc>
      </w:tr>
      <w:tr w:rsidR="009725EF" w14:paraId="69A15E37" w14:textId="77777777" w:rsidTr="0033119B">
        <w:tc>
          <w:tcPr>
            <w:tcW w:w="2005" w:type="dxa"/>
            <w:vMerge/>
          </w:tcPr>
          <w:p w14:paraId="62046448" w14:textId="77777777" w:rsidR="009725EF" w:rsidRDefault="009725EF"/>
        </w:tc>
        <w:tc>
          <w:tcPr>
            <w:tcW w:w="5277" w:type="dxa"/>
          </w:tcPr>
          <w:p w14:paraId="5D87F8F8" w14:textId="175B3F03" w:rsidR="009725EF" w:rsidRPr="0031256F" w:rsidRDefault="009725EF" w:rsidP="009725EF">
            <w:r>
              <w:t>4.10 Links to institutional policies (e.g., academic honesty policies, accessibility</w:t>
            </w:r>
            <w:r>
              <w:t xml:space="preserve"> </w:t>
            </w:r>
            <w:r>
              <w:t>statement, DEI/DEIB statement), materials, and forms relevant for learner</w:t>
            </w:r>
            <w:r>
              <w:t xml:space="preserve"> </w:t>
            </w:r>
            <w:r>
              <w:t>success are included and easy to find.</w:t>
            </w:r>
          </w:p>
        </w:tc>
        <w:tc>
          <w:tcPr>
            <w:tcW w:w="872" w:type="dxa"/>
          </w:tcPr>
          <w:p w14:paraId="446721A1" w14:textId="260423CB" w:rsidR="009725EF" w:rsidRDefault="009725EF">
            <w:r>
              <w:t>4</w:t>
            </w:r>
          </w:p>
        </w:tc>
        <w:tc>
          <w:tcPr>
            <w:tcW w:w="5018" w:type="dxa"/>
          </w:tcPr>
          <w:p w14:paraId="4381E7AB" w14:textId="77777777" w:rsidR="009725EF" w:rsidRDefault="009725EF"/>
        </w:tc>
      </w:tr>
      <w:tr w:rsidR="009725EF" w14:paraId="4ABF8E29" w14:textId="77777777" w:rsidTr="0033119B">
        <w:tc>
          <w:tcPr>
            <w:tcW w:w="2005" w:type="dxa"/>
            <w:vMerge/>
          </w:tcPr>
          <w:p w14:paraId="3D71F90F" w14:textId="77777777" w:rsidR="009725EF" w:rsidRDefault="009725EF"/>
        </w:tc>
        <w:tc>
          <w:tcPr>
            <w:tcW w:w="5277" w:type="dxa"/>
          </w:tcPr>
          <w:p w14:paraId="586C8692" w14:textId="266A3ACB" w:rsidR="009725EF" w:rsidRPr="0031256F" w:rsidRDefault="009725EF" w:rsidP="009725EF">
            <w:r>
              <w:t>4.11 Links to institutional services that support learners (e.g., tech support, help</w:t>
            </w:r>
            <w:r>
              <w:t xml:space="preserve"> </w:t>
            </w:r>
            <w:r>
              <w:t>desk, library, writing center) are included and easy to find.</w:t>
            </w:r>
          </w:p>
        </w:tc>
        <w:tc>
          <w:tcPr>
            <w:tcW w:w="872" w:type="dxa"/>
          </w:tcPr>
          <w:p w14:paraId="56736BE0" w14:textId="07DDDACC" w:rsidR="009725EF" w:rsidRDefault="009725EF">
            <w:r>
              <w:t>4</w:t>
            </w:r>
          </w:p>
        </w:tc>
        <w:tc>
          <w:tcPr>
            <w:tcW w:w="5018" w:type="dxa"/>
          </w:tcPr>
          <w:p w14:paraId="24FE4C3D" w14:textId="77777777" w:rsidR="009725EF" w:rsidRDefault="009725EF"/>
        </w:tc>
      </w:tr>
      <w:tr w:rsidR="009725EF" w14:paraId="6D74538F" w14:textId="77777777" w:rsidTr="0033119B">
        <w:tc>
          <w:tcPr>
            <w:tcW w:w="2005" w:type="dxa"/>
            <w:vMerge/>
          </w:tcPr>
          <w:p w14:paraId="42B83BCA" w14:textId="77777777" w:rsidR="009725EF" w:rsidRDefault="009725EF"/>
        </w:tc>
        <w:tc>
          <w:tcPr>
            <w:tcW w:w="5277" w:type="dxa"/>
          </w:tcPr>
          <w:p w14:paraId="30DA79D8" w14:textId="31AA08B5" w:rsidR="009725EF" w:rsidRPr="0031256F" w:rsidRDefault="009725EF" w:rsidP="009725EF">
            <w:r>
              <w:t>4.12 Links to institutional contacts and procedures for supporting learners with</w:t>
            </w:r>
            <w:r>
              <w:t xml:space="preserve"> </w:t>
            </w:r>
            <w:r>
              <w:t>disabilities are included and easy to find.</w:t>
            </w:r>
          </w:p>
        </w:tc>
        <w:tc>
          <w:tcPr>
            <w:tcW w:w="872" w:type="dxa"/>
          </w:tcPr>
          <w:p w14:paraId="4881158E" w14:textId="651F727D" w:rsidR="009725EF" w:rsidRDefault="009725EF">
            <w:r>
              <w:t>4</w:t>
            </w:r>
          </w:p>
        </w:tc>
        <w:tc>
          <w:tcPr>
            <w:tcW w:w="5018" w:type="dxa"/>
          </w:tcPr>
          <w:p w14:paraId="1B24CA5F" w14:textId="77777777" w:rsidR="009725EF" w:rsidRDefault="009725EF"/>
        </w:tc>
      </w:tr>
    </w:tbl>
    <w:p w14:paraId="5F8930AC" w14:textId="77777777" w:rsidR="0033119B" w:rsidRDefault="0033119B">
      <w:r>
        <w:br w:type="page"/>
      </w:r>
    </w:p>
    <w:tbl>
      <w:tblPr>
        <w:tblStyle w:val="TableGrid"/>
        <w:tblW w:w="13172" w:type="dxa"/>
        <w:tblLook w:val="04A0" w:firstRow="1" w:lastRow="0" w:firstColumn="1" w:lastColumn="0" w:noHBand="0" w:noVBand="1"/>
      </w:tblPr>
      <w:tblGrid>
        <w:gridCol w:w="2005"/>
        <w:gridCol w:w="5277"/>
        <w:gridCol w:w="872"/>
        <w:gridCol w:w="5018"/>
      </w:tblGrid>
      <w:tr w:rsidR="009725EF" w14:paraId="454F081E" w14:textId="77777777" w:rsidTr="0033119B">
        <w:tc>
          <w:tcPr>
            <w:tcW w:w="2005" w:type="dxa"/>
            <w:vMerge w:val="restart"/>
          </w:tcPr>
          <w:p w14:paraId="08E77578" w14:textId="32401598" w:rsidR="009725EF" w:rsidRDefault="009725EF" w:rsidP="009725EF">
            <w:r>
              <w:lastRenderedPageBreak/>
              <w:t>Digital Accessibility</w:t>
            </w:r>
            <w:r>
              <w:t xml:space="preserve"> </w:t>
            </w:r>
            <w:r>
              <w:t>and Technical</w:t>
            </w:r>
            <w:r>
              <w:t xml:space="preserve"> </w:t>
            </w:r>
            <w:r>
              <w:t>Factors</w:t>
            </w:r>
          </w:p>
        </w:tc>
        <w:tc>
          <w:tcPr>
            <w:tcW w:w="5277" w:type="dxa"/>
          </w:tcPr>
          <w:p w14:paraId="32923491" w14:textId="7DF7BA91" w:rsidR="009725EF" w:rsidRPr="0031256F" w:rsidRDefault="009725EF" w:rsidP="009725EF">
            <w:r>
              <w:t>4.13 Content is accessible and supports the needs and preferences of students</w:t>
            </w:r>
            <w:r>
              <w:t xml:space="preserve"> </w:t>
            </w:r>
            <w:r>
              <w:t>with a wide range of abilities (e.g., transcripts for audio/visual content, file</w:t>
            </w:r>
            <w:r>
              <w:t xml:space="preserve"> </w:t>
            </w:r>
            <w:r>
              <w:t>format options, platform neutrality).</w:t>
            </w:r>
          </w:p>
        </w:tc>
        <w:tc>
          <w:tcPr>
            <w:tcW w:w="872" w:type="dxa"/>
          </w:tcPr>
          <w:p w14:paraId="2DF76C74" w14:textId="02780FF6" w:rsidR="009725EF" w:rsidRDefault="009725EF">
            <w:r>
              <w:t>3</w:t>
            </w:r>
          </w:p>
        </w:tc>
        <w:tc>
          <w:tcPr>
            <w:tcW w:w="5018" w:type="dxa"/>
          </w:tcPr>
          <w:p w14:paraId="08086673" w14:textId="77777777" w:rsidR="009725EF" w:rsidRDefault="009725EF"/>
        </w:tc>
      </w:tr>
      <w:tr w:rsidR="009725EF" w14:paraId="0718665A" w14:textId="77777777" w:rsidTr="0033119B">
        <w:tc>
          <w:tcPr>
            <w:tcW w:w="2005" w:type="dxa"/>
            <w:vMerge/>
          </w:tcPr>
          <w:p w14:paraId="2E920B9E" w14:textId="77777777" w:rsidR="009725EF" w:rsidRDefault="009725EF"/>
        </w:tc>
        <w:tc>
          <w:tcPr>
            <w:tcW w:w="5277" w:type="dxa"/>
          </w:tcPr>
          <w:p w14:paraId="33D469FE" w14:textId="3AEEEAE8" w:rsidR="009725EF" w:rsidRPr="0031256F" w:rsidRDefault="009725EF" w:rsidP="009725EF">
            <w:r>
              <w:t>4.14 Lengthy/large files are broken into smaller segments for improved content</w:t>
            </w:r>
            <w:r>
              <w:t xml:space="preserve"> </w:t>
            </w:r>
            <w:r>
              <w:t>consumption and usability (e.g., six 10-minute audio/video files versus a single</w:t>
            </w:r>
            <w:r>
              <w:t xml:space="preserve"> </w:t>
            </w:r>
            <w:r>
              <w:t>60-minute file, five 10-page documents versus a single 50-page document).</w:t>
            </w:r>
          </w:p>
        </w:tc>
        <w:tc>
          <w:tcPr>
            <w:tcW w:w="872" w:type="dxa"/>
          </w:tcPr>
          <w:p w14:paraId="76F2F496" w14:textId="53090F15" w:rsidR="009725EF" w:rsidRDefault="009725EF">
            <w:r>
              <w:t>2</w:t>
            </w:r>
          </w:p>
        </w:tc>
        <w:tc>
          <w:tcPr>
            <w:tcW w:w="5018" w:type="dxa"/>
          </w:tcPr>
          <w:p w14:paraId="619E0AFD" w14:textId="77777777" w:rsidR="009725EF" w:rsidRDefault="009725EF"/>
        </w:tc>
      </w:tr>
      <w:tr w:rsidR="009725EF" w14:paraId="69D10E6B" w14:textId="77777777" w:rsidTr="0033119B">
        <w:tc>
          <w:tcPr>
            <w:tcW w:w="2005" w:type="dxa"/>
            <w:vMerge/>
          </w:tcPr>
          <w:p w14:paraId="055D3F03" w14:textId="77777777" w:rsidR="009725EF" w:rsidRDefault="009725EF"/>
        </w:tc>
        <w:tc>
          <w:tcPr>
            <w:tcW w:w="5277" w:type="dxa"/>
          </w:tcPr>
          <w:p w14:paraId="654704BB" w14:textId="229A410A" w:rsidR="009725EF" w:rsidRPr="0031256F" w:rsidRDefault="009725EF" w:rsidP="009725EF">
            <w:r>
              <w:t>4.15 Multimedia is optimized for web delivery (e.g., videos are streamed</w:t>
            </w:r>
            <w:r>
              <w:t xml:space="preserve"> </w:t>
            </w:r>
            <w:r>
              <w:t>whenever possible, graphics are optimized for web delivery).</w:t>
            </w:r>
          </w:p>
        </w:tc>
        <w:tc>
          <w:tcPr>
            <w:tcW w:w="872" w:type="dxa"/>
          </w:tcPr>
          <w:p w14:paraId="708D69B0" w14:textId="1D9473BF" w:rsidR="009725EF" w:rsidRDefault="009725EF">
            <w:r>
              <w:t>2</w:t>
            </w:r>
          </w:p>
        </w:tc>
        <w:tc>
          <w:tcPr>
            <w:tcW w:w="5018" w:type="dxa"/>
          </w:tcPr>
          <w:p w14:paraId="7C1C6EBC" w14:textId="77777777" w:rsidR="009725EF" w:rsidRDefault="009725EF"/>
        </w:tc>
      </w:tr>
      <w:tr w:rsidR="009725EF" w14:paraId="6F7B0390" w14:textId="77777777" w:rsidTr="0033119B">
        <w:tc>
          <w:tcPr>
            <w:tcW w:w="2005" w:type="dxa"/>
            <w:vMerge/>
          </w:tcPr>
          <w:p w14:paraId="17E1B1F3" w14:textId="77777777" w:rsidR="009725EF" w:rsidRDefault="009725EF"/>
        </w:tc>
        <w:tc>
          <w:tcPr>
            <w:tcW w:w="5277" w:type="dxa"/>
          </w:tcPr>
          <w:p w14:paraId="48748042" w14:textId="7BD5A3B5" w:rsidR="009725EF" w:rsidRPr="0031256F" w:rsidRDefault="009725EF">
            <w:r w:rsidRPr="009725EF">
              <w:t>4.16 Course materials use standard formats to ensure usability.</w:t>
            </w:r>
          </w:p>
        </w:tc>
        <w:tc>
          <w:tcPr>
            <w:tcW w:w="872" w:type="dxa"/>
          </w:tcPr>
          <w:p w14:paraId="38693AAB" w14:textId="63292C11" w:rsidR="009725EF" w:rsidRDefault="009725EF">
            <w:r>
              <w:t>1</w:t>
            </w:r>
          </w:p>
        </w:tc>
        <w:tc>
          <w:tcPr>
            <w:tcW w:w="5018" w:type="dxa"/>
          </w:tcPr>
          <w:p w14:paraId="37FC9208" w14:textId="77777777" w:rsidR="009725EF" w:rsidRDefault="009725EF"/>
        </w:tc>
      </w:tr>
      <w:tr w:rsidR="009725EF" w14:paraId="7D81B826" w14:textId="77777777" w:rsidTr="0033119B">
        <w:tc>
          <w:tcPr>
            <w:tcW w:w="2005" w:type="dxa"/>
            <w:vMerge/>
          </w:tcPr>
          <w:p w14:paraId="0C2C0030" w14:textId="77777777" w:rsidR="009725EF" w:rsidRDefault="009725EF"/>
        </w:tc>
        <w:tc>
          <w:tcPr>
            <w:tcW w:w="5277" w:type="dxa"/>
          </w:tcPr>
          <w:p w14:paraId="0F0FF819" w14:textId="1361685E" w:rsidR="009725EF" w:rsidRPr="0031256F" w:rsidRDefault="009725EF" w:rsidP="009725EF">
            <w:r>
              <w:t>4.17 If technology is required for a specific learning activity, the link to that</w:t>
            </w:r>
            <w:r>
              <w:t xml:space="preserve"> </w:t>
            </w:r>
            <w:r>
              <w:t>technology is included along with the instructions.</w:t>
            </w:r>
          </w:p>
        </w:tc>
        <w:tc>
          <w:tcPr>
            <w:tcW w:w="872" w:type="dxa"/>
          </w:tcPr>
          <w:p w14:paraId="72AD9592" w14:textId="3D8C8588" w:rsidR="009725EF" w:rsidRDefault="009725EF">
            <w:r>
              <w:t>1</w:t>
            </w:r>
          </w:p>
        </w:tc>
        <w:tc>
          <w:tcPr>
            <w:tcW w:w="5018" w:type="dxa"/>
          </w:tcPr>
          <w:p w14:paraId="084FEE9D" w14:textId="77777777" w:rsidR="009725EF" w:rsidRDefault="009725EF"/>
        </w:tc>
      </w:tr>
      <w:tr w:rsidR="009725EF" w14:paraId="1D3F4177" w14:textId="77777777" w:rsidTr="0033119B">
        <w:tc>
          <w:tcPr>
            <w:tcW w:w="2005" w:type="dxa"/>
            <w:vMerge w:val="restart"/>
          </w:tcPr>
          <w:p w14:paraId="4F1BA4A1" w14:textId="7FB41762" w:rsidR="009725EF" w:rsidRDefault="009725EF">
            <w:r>
              <w:t>Feedback</w:t>
            </w:r>
          </w:p>
        </w:tc>
        <w:tc>
          <w:tcPr>
            <w:tcW w:w="5277" w:type="dxa"/>
            <w:shd w:val="clear" w:color="auto" w:fill="FFD966" w:themeFill="accent4" w:themeFillTint="99"/>
          </w:tcPr>
          <w:p w14:paraId="728794FF" w14:textId="79AE857F" w:rsidR="009725EF" w:rsidRPr="0031256F" w:rsidRDefault="009725EF" w:rsidP="009725EF">
            <w:r>
              <w:t>4.18 Learners have opportunity to give formative feedback to the instructor</w:t>
            </w:r>
            <w:r>
              <w:t xml:space="preserve"> </w:t>
            </w:r>
            <w:r>
              <w:t>regarding course design, content, and presentation of course delivery.</w:t>
            </w:r>
          </w:p>
        </w:tc>
        <w:tc>
          <w:tcPr>
            <w:tcW w:w="872" w:type="dxa"/>
          </w:tcPr>
          <w:p w14:paraId="566BE9AE" w14:textId="52EB87D3" w:rsidR="009725EF" w:rsidRDefault="009725EF">
            <w:r>
              <w:t>5</w:t>
            </w:r>
          </w:p>
        </w:tc>
        <w:tc>
          <w:tcPr>
            <w:tcW w:w="5018" w:type="dxa"/>
          </w:tcPr>
          <w:p w14:paraId="04F0998C" w14:textId="77777777" w:rsidR="009725EF" w:rsidRDefault="009725EF"/>
        </w:tc>
      </w:tr>
      <w:tr w:rsidR="009725EF" w14:paraId="024DE7C0" w14:textId="77777777" w:rsidTr="0033119B">
        <w:tc>
          <w:tcPr>
            <w:tcW w:w="2005" w:type="dxa"/>
            <w:vMerge/>
          </w:tcPr>
          <w:p w14:paraId="6ED7EAF5" w14:textId="77777777" w:rsidR="009725EF" w:rsidRDefault="009725EF"/>
        </w:tc>
        <w:tc>
          <w:tcPr>
            <w:tcW w:w="5277" w:type="dxa"/>
          </w:tcPr>
          <w:p w14:paraId="37A3DF55" w14:textId="66CD12F0" w:rsidR="009725EF" w:rsidRDefault="009725EF" w:rsidP="009725EF">
            <w:r>
              <w:t>4.19 Feedback mechanisms allow learners to participate anonymously in course</w:t>
            </w:r>
            <w:r>
              <w:t xml:space="preserve"> </w:t>
            </w:r>
            <w:r>
              <w:t>evaluation (e.g., course evaluation information is listed in syllabus, via course</w:t>
            </w:r>
          </w:p>
          <w:p w14:paraId="6C5DB7DB" w14:textId="24BB7F45" w:rsidR="009725EF" w:rsidRPr="0031256F" w:rsidRDefault="009725EF" w:rsidP="009725EF">
            <w:r>
              <w:t>announcement, link to institutional announcement, etc.).</w:t>
            </w:r>
          </w:p>
        </w:tc>
        <w:tc>
          <w:tcPr>
            <w:tcW w:w="872" w:type="dxa"/>
          </w:tcPr>
          <w:p w14:paraId="62633A54" w14:textId="30C68631" w:rsidR="009725EF" w:rsidRDefault="009725EF">
            <w:r>
              <w:t>3</w:t>
            </w:r>
          </w:p>
        </w:tc>
        <w:tc>
          <w:tcPr>
            <w:tcW w:w="5018" w:type="dxa"/>
          </w:tcPr>
          <w:p w14:paraId="13C18667" w14:textId="77777777" w:rsidR="009725EF" w:rsidRDefault="009725EF"/>
        </w:tc>
      </w:tr>
    </w:tbl>
    <w:p w14:paraId="4D08961C" w14:textId="2D1D2920" w:rsidR="0031256F" w:rsidRDefault="0031256F"/>
    <w:p w14:paraId="52BF8704" w14:textId="2D85F5DD" w:rsidR="0033119B" w:rsidRDefault="0033119B">
      <w:r>
        <w:t>Total Points: ____________ / 191</w:t>
      </w:r>
    </w:p>
    <w:p w14:paraId="0735EFD6" w14:textId="3B3EA255" w:rsidR="009C7895" w:rsidRDefault="009C7895"/>
    <w:p w14:paraId="6CE67C8E" w14:textId="0D234312" w:rsidR="009C7895" w:rsidRDefault="009C7895">
      <w:r>
        <w:t>Last Revised 11/2023 by E. Larson</w:t>
      </w:r>
    </w:p>
    <w:sectPr w:rsidR="009C7895" w:rsidSect="0031256F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5170C" w14:textId="77777777" w:rsidR="00191EA8" w:rsidRDefault="00191EA8" w:rsidP="00FC3FC6">
      <w:r>
        <w:separator/>
      </w:r>
    </w:p>
  </w:endnote>
  <w:endnote w:type="continuationSeparator" w:id="0">
    <w:p w14:paraId="51190106" w14:textId="77777777" w:rsidR="00191EA8" w:rsidRDefault="00191EA8" w:rsidP="00FC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75924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B2B62A" w14:textId="7243527C" w:rsidR="00FC3FC6" w:rsidRDefault="00FC3FC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E94BF2" w14:textId="77777777" w:rsidR="00FC3FC6" w:rsidRDefault="00FC3F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53BA" w14:textId="77777777" w:rsidR="00191EA8" w:rsidRDefault="00191EA8" w:rsidP="00FC3FC6">
      <w:r>
        <w:separator/>
      </w:r>
    </w:p>
  </w:footnote>
  <w:footnote w:type="continuationSeparator" w:id="0">
    <w:p w14:paraId="4453F721" w14:textId="77777777" w:rsidR="00191EA8" w:rsidRDefault="00191EA8" w:rsidP="00FC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468F5"/>
    <w:multiLevelType w:val="hybridMultilevel"/>
    <w:tmpl w:val="56BCE0E4"/>
    <w:lvl w:ilvl="0" w:tplc="4E72E3A8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01E66"/>
    <w:multiLevelType w:val="hybridMultilevel"/>
    <w:tmpl w:val="38E8A81A"/>
    <w:lvl w:ilvl="0" w:tplc="DCDC69B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2" w15:restartNumberingAfterBreak="0">
    <w:nsid w:val="628547EF"/>
    <w:multiLevelType w:val="hybridMultilevel"/>
    <w:tmpl w:val="89A89374"/>
    <w:lvl w:ilvl="0" w:tplc="BADACD24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225375"/>
    <w:multiLevelType w:val="hybridMultilevel"/>
    <w:tmpl w:val="7958C22E"/>
    <w:lvl w:ilvl="0" w:tplc="2490EA7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077"/>
    <w:rsid w:val="00191EA8"/>
    <w:rsid w:val="0031256F"/>
    <w:rsid w:val="0033119B"/>
    <w:rsid w:val="006F26D9"/>
    <w:rsid w:val="008D6077"/>
    <w:rsid w:val="009725EF"/>
    <w:rsid w:val="009C7895"/>
    <w:rsid w:val="00B9494C"/>
    <w:rsid w:val="00E613D7"/>
    <w:rsid w:val="00FC3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9F1AD"/>
  <w15:chartTrackingRefBased/>
  <w15:docId w15:val="{089EA9C9-5FDA-42E7-8F1C-7A4A23BEF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deck5tablebodythreelines">
    <w:name w:val="M_deck_5_table_body_three_lines"/>
    <w:basedOn w:val="TableNormal"/>
    <w:uiPriority w:val="99"/>
    <w:rsid w:val="00B9494C"/>
    <w:pPr>
      <w:adjustRightInd w:val="0"/>
      <w:snapToGrid w:val="0"/>
      <w:spacing w:line="300" w:lineRule="exact"/>
      <w:jc w:val="center"/>
    </w:pPr>
    <w:rPr>
      <w:rFonts w:ascii="Times New Roman" w:eastAsia="SimSun" w:hAnsi="Times New Roman" w:cs="Times New Roman"/>
      <w:sz w:val="20"/>
      <w:szCs w:val="20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MDPI11articletype">
    <w:name w:val="MDPI_1.1_article_type"/>
    <w:next w:val="Normal"/>
    <w:qFormat/>
    <w:rsid w:val="00B9494C"/>
    <w:pPr>
      <w:adjustRightInd w:val="0"/>
      <w:snapToGrid w:val="0"/>
      <w:spacing w:before="240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B9494C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B9494C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B9494C"/>
    <w:pPr>
      <w:adjustRightInd w:val="0"/>
      <w:snapToGrid w:val="0"/>
      <w:spacing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0"/>
      <w:lang w:eastAsia="de-DE" w:bidi="en-US"/>
    </w:rPr>
  </w:style>
  <w:style w:type="paragraph" w:customStyle="1" w:styleId="MDPI15academiceditor">
    <w:name w:val="MDPI_1.5_academic_editor"/>
    <w:qFormat/>
    <w:rsid w:val="00B9494C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lang w:eastAsia="de-DE" w:bidi="en-US"/>
    </w:rPr>
  </w:style>
  <w:style w:type="paragraph" w:customStyle="1" w:styleId="MDPI16affiliation">
    <w:name w:val="MDPI_1.6_affiliation"/>
    <w:qFormat/>
    <w:rsid w:val="00B9494C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B9494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color w:val="000000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B9494C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lang w:eastAsia="de-DE" w:bidi="en-US"/>
    </w:rPr>
  </w:style>
  <w:style w:type="paragraph" w:customStyle="1" w:styleId="MDPI19classification">
    <w:name w:val="MDPI_1.9_classification"/>
    <w:qFormat/>
    <w:rsid w:val="00B9494C"/>
    <w:pPr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customStyle="1" w:styleId="MDPI19line">
    <w:name w:val="MDPI_1.9_line"/>
    <w:qFormat/>
    <w:rsid w:val="00B9494C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B9494C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eastAsia="de-DE" w:bidi="en-US"/>
    </w:rPr>
  </w:style>
  <w:style w:type="paragraph" w:customStyle="1" w:styleId="MDPI22heading2">
    <w:name w:val="MDPI_2.2_heading2"/>
    <w:qFormat/>
    <w:rsid w:val="00B9494C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color w:val="000000"/>
      <w:sz w:val="20"/>
      <w:lang w:eastAsia="de-DE" w:bidi="en-US"/>
    </w:rPr>
  </w:style>
  <w:style w:type="paragraph" w:customStyle="1" w:styleId="MDPI23heading3">
    <w:name w:val="MDPI_2.3_heading3"/>
    <w:qFormat/>
    <w:rsid w:val="00B9494C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1text">
    <w:name w:val="MDPI_3.1_text"/>
    <w:qFormat/>
    <w:rsid w:val="00B9494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B9494C"/>
    <w:pPr>
      <w:ind w:firstLine="0"/>
    </w:pPr>
  </w:style>
  <w:style w:type="paragraph" w:customStyle="1" w:styleId="MDPI33textspaceafter">
    <w:name w:val="MDPI_3.3_text_space_after"/>
    <w:qFormat/>
    <w:rsid w:val="00B9494C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4textspacebefore">
    <w:name w:val="MDPI_3.4_text_space_before"/>
    <w:qFormat/>
    <w:rsid w:val="00B9494C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5textbeforelist">
    <w:name w:val="MDPI_3.5_text_before_list"/>
    <w:qFormat/>
    <w:rsid w:val="00B9494C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6textafterlist">
    <w:name w:val="MDPI_3.6_text_after_list"/>
    <w:qFormat/>
    <w:rsid w:val="00B9494C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7itemize">
    <w:name w:val="MDPI_3.7_itemize"/>
    <w:qFormat/>
    <w:rsid w:val="00B9494C"/>
    <w:pPr>
      <w:numPr>
        <w:numId w:val="1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8bullet">
    <w:name w:val="MDPI_3.8_bullet"/>
    <w:qFormat/>
    <w:rsid w:val="00B9494C"/>
    <w:pPr>
      <w:numPr>
        <w:numId w:val="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20"/>
      <w:lang w:eastAsia="de-DE" w:bidi="en-US"/>
    </w:rPr>
  </w:style>
  <w:style w:type="paragraph" w:customStyle="1" w:styleId="MDPI39equation">
    <w:name w:val="MDPI_3.9_equation"/>
    <w:qFormat/>
    <w:rsid w:val="00B9494C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3aequationnumber">
    <w:name w:val="MDPI_3.a_equation_number"/>
    <w:qFormat/>
    <w:rsid w:val="00B9494C"/>
    <w:pPr>
      <w:spacing w:before="120" w:after="120"/>
      <w:jc w:val="right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411onetablecaption">
    <w:name w:val="MDPI_4.1.1_one_table_caption"/>
    <w:qFormat/>
    <w:rsid w:val="00B9494C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Cordia New"/>
      <w:noProof/>
      <w:color w:val="000000"/>
      <w:sz w:val="18"/>
      <w:lang w:eastAsia="zh-CN" w:bidi="en-US"/>
    </w:rPr>
  </w:style>
  <w:style w:type="paragraph" w:customStyle="1" w:styleId="MDPI41tablecaption">
    <w:name w:val="MDPI_4.1_table_caption"/>
    <w:qFormat/>
    <w:rsid w:val="00B9494C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B9494C"/>
    <w:pPr>
      <w:adjustRightInd w:val="0"/>
      <w:snapToGrid w:val="0"/>
      <w:jc w:val="center"/>
    </w:pPr>
    <w:rPr>
      <w:rFonts w:ascii="Palatino Linotype" w:eastAsia="SimSun" w:hAnsi="Palatino Linotype" w:cs="Times New Roman"/>
      <w:color w:val="000000"/>
      <w:sz w:val="20"/>
      <w:szCs w:val="20"/>
      <w:lang w:eastAsia="zh-CN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2tablebody">
    <w:name w:val="MDPI_4.2_table_body"/>
    <w:qFormat/>
    <w:rsid w:val="00B9494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43tablefooter">
    <w:name w:val="MDPI_4.3_table_footer"/>
    <w:next w:val="MDPI31text"/>
    <w:qFormat/>
    <w:rsid w:val="00B9494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B9494C"/>
    <w:pPr>
      <w:adjustRightInd w:val="0"/>
      <w:snapToGrid w:val="0"/>
      <w:spacing w:before="240" w:after="120" w:line="260" w:lineRule="atLeast"/>
      <w:jc w:val="center"/>
    </w:pPr>
    <w:rPr>
      <w:rFonts w:ascii="Palatino Linotype" w:eastAsia="SimSun" w:hAnsi="Palatino Linotype" w:cs="Times New Roman"/>
      <w:noProof/>
      <w:color w:val="000000"/>
      <w:sz w:val="18"/>
      <w:szCs w:val="20"/>
      <w:lang w:eastAsia="zh-CN" w:bidi="en-US"/>
    </w:rPr>
  </w:style>
  <w:style w:type="paragraph" w:customStyle="1" w:styleId="MDPI51figurecaption">
    <w:name w:val="MDPI_5.1_figure_caption"/>
    <w:qFormat/>
    <w:rsid w:val="00B9494C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B9494C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B9494C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lang w:eastAsia="zh-CN"/>
    </w:rPr>
  </w:style>
  <w:style w:type="paragraph" w:customStyle="1" w:styleId="MDPI62BackMatter">
    <w:name w:val="MDPI_6.2_BackMatter"/>
    <w:qFormat/>
    <w:rsid w:val="00B9494C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bidi="en-US"/>
    </w:rPr>
  </w:style>
  <w:style w:type="paragraph" w:customStyle="1" w:styleId="MDPI63Notes">
    <w:name w:val="MDPI_6.3_Notes"/>
    <w:qFormat/>
    <w:rsid w:val="00B9494C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bidi="en-US"/>
    </w:rPr>
  </w:style>
  <w:style w:type="paragraph" w:customStyle="1" w:styleId="MDPI71FootNotes">
    <w:name w:val="MDPI_7.1_FootNotes"/>
    <w:qFormat/>
    <w:rsid w:val="00B9494C"/>
    <w:pPr>
      <w:numPr>
        <w:numId w:val="3"/>
      </w:numPr>
      <w:adjustRightInd w:val="0"/>
      <w:snapToGrid w:val="0"/>
      <w:spacing w:line="228" w:lineRule="auto"/>
    </w:pPr>
    <w:rPr>
      <w:rFonts w:ascii="Palatino Linotype" w:eastAsiaTheme="minorEastAsia" w:hAnsi="Palatino Linotype" w:cs="Times New Roman"/>
      <w:noProof/>
      <w:color w:val="000000"/>
      <w:sz w:val="18"/>
      <w:szCs w:val="20"/>
      <w:lang w:eastAsia="zh-CN"/>
    </w:rPr>
  </w:style>
  <w:style w:type="paragraph" w:customStyle="1" w:styleId="MDPI71References">
    <w:name w:val="MDPI_7.1_References"/>
    <w:qFormat/>
    <w:rsid w:val="00B9494C"/>
    <w:pPr>
      <w:numPr>
        <w:numId w:val="4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 w:cs="Times New Roman"/>
      <w:color w:val="000000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B9494C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noProof/>
      <w:snapToGrid w:val="0"/>
      <w:color w:val="000000"/>
      <w:spacing w:val="-2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B9494C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color w:val="000000"/>
      <w:sz w:val="20"/>
      <w:szCs w:val="20"/>
      <w:lang w:eastAsia="de-CH"/>
    </w:rPr>
  </w:style>
  <w:style w:type="paragraph" w:customStyle="1" w:styleId="MDPI81theorem">
    <w:name w:val="MDPI_8.1_theorem"/>
    <w:qFormat/>
    <w:rsid w:val="00B9494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color w:val="000000"/>
      <w:sz w:val="20"/>
      <w:lang w:eastAsia="de-DE" w:bidi="en-US"/>
    </w:rPr>
  </w:style>
  <w:style w:type="paragraph" w:customStyle="1" w:styleId="MDPI82proof">
    <w:name w:val="MDPI_8.2_proof"/>
    <w:qFormat/>
    <w:rsid w:val="00B9494C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equationFram">
    <w:name w:val="MDPI_equationFram"/>
    <w:qFormat/>
    <w:rsid w:val="00B9494C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  <w:style w:type="paragraph" w:customStyle="1" w:styleId="MDPIfooter">
    <w:name w:val="MDPI_footer"/>
    <w:qFormat/>
    <w:rsid w:val="00B9494C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 w:cs="Times New Roman"/>
      <w:color w:val="000000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B9494C"/>
    <w:pPr>
      <w:tabs>
        <w:tab w:val="right" w:pos="8845"/>
      </w:tabs>
      <w:spacing w:line="160" w:lineRule="exact"/>
    </w:pPr>
    <w:rPr>
      <w:rFonts w:ascii="Palatino Linotype" w:eastAsia="Times New Roman" w:hAnsi="Palatino Linotype" w:cs="Times New Roman"/>
      <w:color w:val="000000"/>
      <w:sz w:val="16"/>
      <w:szCs w:val="20"/>
      <w:lang w:eastAsia="de-DE"/>
    </w:rPr>
  </w:style>
  <w:style w:type="paragraph" w:customStyle="1" w:styleId="MDPIheader">
    <w:name w:val="MDPI_header"/>
    <w:qFormat/>
    <w:rsid w:val="00B9494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color w:val="000000"/>
      <w:sz w:val="16"/>
      <w:szCs w:val="20"/>
      <w:lang w:eastAsia="de-DE"/>
    </w:rPr>
  </w:style>
  <w:style w:type="paragraph" w:customStyle="1" w:styleId="MDPIheadercitation">
    <w:name w:val="MDPI_header_citation"/>
    <w:rsid w:val="00B9494C"/>
    <w:pPr>
      <w:spacing w:after="240"/>
    </w:pPr>
    <w:rPr>
      <w:rFonts w:ascii="Palatino Linotype" w:eastAsia="Times New Roman" w:hAnsi="Palatino Linotype" w:cs="Times New Roman"/>
      <w:snapToGrid w:val="0"/>
      <w:color w:val="000000"/>
      <w:sz w:val="18"/>
      <w:szCs w:val="20"/>
      <w:lang w:eastAsia="de-DE" w:bidi="en-US"/>
    </w:rPr>
  </w:style>
  <w:style w:type="paragraph" w:customStyle="1" w:styleId="MDPIheaderjournallogo">
    <w:name w:val="MDPI_header_journal_logo"/>
    <w:qFormat/>
    <w:rsid w:val="00B9494C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 w:cs="Times New Roman"/>
      <w:i/>
      <w:color w:val="000000"/>
      <w:sz w:val="24"/>
      <w:lang w:eastAsia="de-CH"/>
    </w:rPr>
  </w:style>
  <w:style w:type="paragraph" w:customStyle="1" w:styleId="MDPIheadermdpilogo">
    <w:name w:val="MDPI_header_mdpi_logo"/>
    <w:qFormat/>
    <w:rsid w:val="00B9494C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 w:cs="Times New Roman"/>
      <w:color w:val="000000"/>
      <w:sz w:val="24"/>
      <w:lang w:eastAsia="de-CH"/>
    </w:rPr>
  </w:style>
  <w:style w:type="table" w:customStyle="1" w:styleId="MDPITable">
    <w:name w:val="MDPI_Table"/>
    <w:basedOn w:val="TableNormal"/>
    <w:uiPriority w:val="99"/>
    <w:rsid w:val="00B9494C"/>
    <w:rPr>
      <w:rFonts w:ascii="Palatino Linotype" w:eastAsia="SimSun" w:hAnsi="Palatino Linotype" w:cs="Times New Roman"/>
      <w:color w:val="000000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B9494C"/>
    <w:pPr>
      <w:spacing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color w:val="000000"/>
      <w:lang w:eastAsia="de-DE" w:bidi="en-US"/>
    </w:rPr>
  </w:style>
  <w:style w:type="paragraph" w:customStyle="1" w:styleId="MDPItitle">
    <w:name w:val="MDPI_title"/>
    <w:qFormat/>
    <w:rsid w:val="00B9494C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eastAsia="de-DE" w:bidi="en-US"/>
    </w:rPr>
  </w:style>
  <w:style w:type="table" w:styleId="TableGrid">
    <w:name w:val="Table Grid"/>
    <w:basedOn w:val="TableNormal"/>
    <w:uiPriority w:val="39"/>
    <w:rsid w:val="003125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3F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C6"/>
  </w:style>
  <w:style w:type="paragraph" w:styleId="Footer">
    <w:name w:val="footer"/>
    <w:basedOn w:val="Normal"/>
    <w:link w:val="FooterChar"/>
    <w:uiPriority w:val="99"/>
    <w:unhideWhenUsed/>
    <w:rsid w:val="00FC3F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1274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Larson</dc:creator>
  <cp:keywords/>
  <dc:description/>
  <cp:lastModifiedBy>Erik Larson</cp:lastModifiedBy>
  <cp:revision>4</cp:revision>
  <dcterms:created xsi:type="dcterms:W3CDTF">2023-11-20T17:31:00Z</dcterms:created>
  <dcterms:modified xsi:type="dcterms:W3CDTF">2023-11-20T18:06:00Z</dcterms:modified>
</cp:coreProperties>
</file>